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9B" w:rsidRPr="0008309B" w:rsidRDefault="0008309B" w:rsidP="0008309B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  <w:t>СЄВЄРОДОНЕЦЬКА  МІСЬКА  РАДА</w:t>
      </w:r>
    </w:p>
    <w:p w:rsidR="0008309B" w:rsidRPr="0008309B" w:rsidRDefault="0008309B" w:rsidP="0008309B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  <w:t>ВИКОНАВЧИЙ КОМІТЕТ</w:t>
      </w:r>
    </w:p>
    <w:p w:rsidR="0008309B" w:rsidRPr="0008309B" w:rsidRDefault="0008309B" w:rsidP="0008309B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  <w:t> </w:t>
      </w:r>
    </w:p>
    <w:p w:rsidR="0008309B" w:rsidRPr="0008309B" w:rsidRDefault="0008309B" w:rsidP="0008309B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  <w:t>РІШЕННЯ  №663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“20“  серпня  2013 року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 Сєвєродонецьк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16"/>
          <w:szCs w:val="16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16"/>
          <w:szCs w:val="16"/>
          <w:lang w:val="uk-UA" w:eastAsia="ru-RU"/>
        </w:rPr>
        <w:t> </w:t>
      </w:r>
    </w:p>
    <w:p w:rsidR="0008309B" w:rsidRPr="0008309B" w:rsidRDefault="0008309B" w:rsidP="0008309B">
      <w:pPr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  <w:t>Про підсумки допризовної підготовки у  2012-2013  навчальному  році і планах  основних  заходів  на  2013-2014 навчальний рік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16"/>
          <w:szCs w:val="16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Керуючись п.1 ст. 36 Закону  України  “Про  місцеве  самоврядування  в Україні”, та на виконання положень Закону України “Про військовий обов’язок   та   військову  службу” , Указу Президента України від 25.10.2002р. № 948 “Про Концепцію допризовної підготовки і військово-патріотичного виховання молоді ”, Положення про допризовну  підготовку, затвердженого Постановою Кабінету  Міністрів № 1770 від 30.11.2000р., та  Програми  допризовної підготовки, затвердженої Міністерством освіти України і з метою покращення військової підготовки молоді в місті, виконком Сєвєродонецької міської ради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1. Інформацію про роботу  міського  військового  комісаріату, відділу освіти та   навчальних    закладів  міста  з   допризовної підготовки   та   військово-патріотичного виховання молоді прийняти до відома (додаток 1).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 Директорам навчальних закладів недоліки з допризовної підготовки та військово-патріотичного виховання молоді, які виявлені в минулому навчальному році, проаналізувати і розробити заходи з метою їх усунення.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Відпрацювати конкретні рішення та плани, направлені на поліпшення якості роботи з молоддю з допризовної підготовки та військово-патріотичного виховання.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3. Відділу освіти (БАШКАТОВ О.В.), професійно-технічним навчальним закладам, відділу у справах сім’ї, молоді та спорту (ХАНЮВЧЕНКО В.І.), забезпечити масове залучення юнаків допризовного та призовного віку до регулярних занять фізичною культурою та спортом.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4. Затвердити план основних заходів з допризовної підготовки навчальних закладів міста на 2013-2014 навчальний рік (додаток 2).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5. Затвердити план контролю і надання допомоги навчальним закладам з допризовної підготовки юнаків (додаток 3).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6. Для здійснення контролю і надання допомоги навчальним закладам в організації і проведенні допризовної підготовки молоді створити комісію у складі (додаток 4).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7. Дане рішення підлягає оприлюдненню.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8. Контроль за виконанням рішення покласти на першого заступника міського голови Халіна Є.В.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36"/>
          <w:szCs w:val="36"/>
          <w:lang w:val="uk-UA" w:eastAsia="ru-RU"/>
        </w:rPr>
        <w:t> </w:t>
      </w:r>
    </w:p>
    <w:p w:rsidR="0008309B" w:rsidRPr="0008309B" w:rsidRDefault="0008309B" w:rsidP="0008309B">
      <w:pPr>
        <w:spacing w:after="60"/>
        <w:outlineLvl w:val="4"/>
        <w:rPr>
          <w:rFonts w:ascii="Tahoma" w:eastAsia="Times New Roman" w:hAnsi="Tahoma" w:cs="Tahoma"/>
          <w:b/>
          <w:bCs/>
          <w:color w:val="76797C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76797C"/>
          <w:sz w:val="11"/>
          <w:szCs w:val="11"/>
          <w:lang w:val="uk-UA" w:eastAsia="ru-RU"/>
        </w:rPr>
        <w:t>Міський голова      </w:t>
      </w:r>
      <w:r w:rsidRPr="0008309B">
        <w:rPr>
          <w:rFonts w:ascii="Tahoma" w:eastAsia="Times New Roman" w:hAnsi="Tahoma" w:cs="Tahoma"/>
          <w:b/>
          <w:bCs/>
          <w:color w:val="76797C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11"/>
          <w:szCs w:val="11"/>
          <w:lang w:val="uk-UA" w:eastAsia="ru-RU"/>
        </w:rPr>
        <w:t>                               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11"/>
          <w:szCs w:val="11"/>
          <w:lang w:val="uk-UA" w:eastAsia="ru-RU"/>
        </w:rPr>
        <w:t>                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11"/>
          <w:szCs w:val="11"/>
          <w:lang w:val="uk-UA" w:eastAsia="ru-RU"/>
        </w:rPr>
        <w:t>            В.В.Казаков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36"/>
          <w:szCs w:val="36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Додаток   1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до рішення виконкому №663                            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від “20”  серпня  2013 року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Інформація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про роботу  міського  військового  комісаріату,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відділу освіти та навчальних закладів міста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            Допризовна підготовка юнаків у навчальних закладах міста у 2012 – 2013 навчальному році проводилася відповідно до Закону України “Про військовий обов’язок   та   військову  службу ” , Указу Президента України від 25.10.2002р. № 948 “Про Концепцію допризовної підготовки і військово-патріотичного виховання молоді ”, </w:t>
      </w: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Положення про допризовну  підготовку, затвердженого Постановою Кабінету Міністрів № 1770 від 30.11.2000р.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Кращих показників в організації і проведенні допризовної підготовки з юнаками добились: Сєвєродонецький НВК «Спеціалізована школа-колегіум НаУКМА», СЗШ № 12, СЗШ № 13, СЗШ № 18 та Вище професійне училище.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В місті накопичено певний позитивний досвід роботи з військово-патріотичного виховання молоді, формування національної самосвідомості та духовності. Зокрема, важливим заходом, спрямованим на розвиток почуття патріотизму, виховання любові до Батьківщини та готовності до ії захисту, є військово-патріотична гра.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Разом з тим, скорочення програми допризовної підготовки в навчальних закладах до 70 годин проводить до того, що деяка кількість юнаків не отримала військових знань і навичок, необхідних для успішного проходження строкової служби.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Одна з відмінностей допризовної підготовки від інших предметів полягає в тому, що організація навчально-виховного процесу з допризовної підготовки безпосередньо залежить від стану та наявності навчально-матеріальної бази. Одним із недоліків, який впливає на якість підготовки юнаків до служби у Збройних Силах України, являється те, що в навчальних закладах не наділяється належним чином уваги до своєчасного ремонту і удосконаленню навчальної матеріальної бази по допризовній підготовці.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Однією з головних задач відділу освіти,  директорів навчальних закладів і викладачів допризовної підготовки повинно бути подальше удосконалення організації та підвищення якості навчально-виховного процесу по допризовній підготовці, рівня викладання, забезпечення твердих теоретичних знань і практичних навиків у юнаків.</w:t>
      </w:r>
    </w:p>
    <w:p w:rsidR="0008309B" w:rsidRPr="0008309B" w:rsidRDefault="0008309B" w:rsidP="0008309B">
      <w:pPr>
        <w:shd w:val="clear" w:color="auto" w:fill="FFFFFF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br/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Підготував: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Головний спеціаліст Сєвєродонецького МВК                                        М.В.Мирошник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pacing w:after="60"/>
        <w:outlineLvl w:val="5"/>
        <w:rPr>
          <w:rFonts w:ascii="Tahoma" w:eastAsia="Times New Roman" w:hAnsi="Tahoma" w:cs="Tahoma"/>
          <w:b/>
          <w:bCs/>
          <w:color w:val="76797C"/>
          <w:sz w:val="9"/>
          <w:szCs w:val="9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Керуючий справами виконкому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 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Л.Ф.Єфименко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pacing w:after="60"/>
        <w:jc w:val="both"/>
        <w:outlineLvl w:val="2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                                     </w:t>
      </w:r>
      <w:r w:rsidRPr="0008309B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              </w:t>
      </w:r>
      <w:r w:rsidRPr="0008309B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08309B" w:rsidRPr="0008309B" w:rsidRDefault="0008309B" w:rsidP="0008309B">
      <w:pPr>
        <w:spacing w:after="60"/>
        <w:ind w:left="4512" w:firstLine="708"/>
        <w:jc w:val="right"/>
        <w:outlineLvl w:val="2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08309B">
        <w:rPr>
          <w:rFonts w:ascii="Tahoma" w:eastAsia="Times New Roman" w:hAnsi="Tahoma" w:cs="Tahoma"/>
          <w:b/>
          <w:bCs/>
          <w:i/>
          <w:iCs/>
          <w:color w:val="4A4A4A"/>
          <w:sz w:val="13"/>
          <w:lang w:eastAsia="ru-RU"/>
        </w:rPr>
        <w:t>Додаток   2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lastRenderedPageBreak/>
        <w:t> до рішення виконкому №663                            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від “20”  серпня  2013 року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8309B" w:rsidRPr="0008309B" w:rsidRDefault="0008309B" w:rsidP="0008309B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4"/>
          <w:szCs w:val="14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П Л А Н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основних заходів з допризовної підготовки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юнаків у навчальних закладах міста на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2013-2014 навчальний рік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4"/>
        <w:gridCol w:w="5340"/>
        <w:gridCol w:w="1440"/>
        <w:gridCol w:w="2147"/>
      </w:tblGrid>
      <w:tr w:rsidR="0008309B" w:rsidRPr="0008309B" w:rsidTr="0008309B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заходів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</w:t>
            </w:r>
          </w:p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08309B" w:rsidRPr="0008309B" w:rsidTr="0008309B">
        <w:trPr>
          <w:trHeight w:val="1602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60"/>
              <w:outlineLvl w:val="1"/>
              <w:rPr>
                <w:rFonts w:ascii="Tahoma" w:eastAsia="Times New Roman" w:hAnsi="Tahoma" w:cs="Tahoma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08309B">
              <w:rPr>
                <w:rFonts w:ascii="Tahoma" w:eastAsia="Times New Roman" w:hAnsi="Tahoma" w:cs="Tahoma"/>
                <w:b/>
                <w:bCs/>
                <w:color w:val="4A4A4A"/>
                <w:sz w:val="24"/>
                <w:szCs w:val="24"/>
                <w:lang w:val="uk-UA" w:eastAsia="ru-RU"/>
              </w:rPr>
              <w:t>ОРГАНІЗАЦІЙНІ ЗАХОДИ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Підвести підсумки роботи навчальних закладів з допризовної підготовки юнаків у 2012-2013 навчальному році та поставитизавдання на 2013-2014 навчальний рік.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серпень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військовий комісаріат (МВК), відділ освіти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Забезпечити контроль за станом допризовної підготовки   та    військово-патріотичного виховання молоді в навчальних закладах у 2013-2014 навчальному році.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Згідно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додатку  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комісія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Розглянути  стан  допризовної  підготовки  та військово-патріотичного виховання учнів на педрадах  навчальних  закладів.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 –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Підготувати   та   провести   спільне   засідання відділу освіти, керівників професійно-технічних навчальних закладів, МВК, МК ТСОУ, відділу у справах сім’ї, молоді та спорту, на якому розглянути та відпрацювати план дійових заходів з покращення стану підготовки юнаків до служби в ЗС України.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жовтень –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освіти, професійно-технічні навчальні 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заклади (ПТНЗ)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Надати до міськради інформацію про стан допризовної підготовки та військово-патріотичного виховання в навчальних закладах по закінченню навчального року.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ПІДБІР КАДРІВ ВИКЛАДАЧІВ ТА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МЕТОДИЧНА РОБОТА З НИМИ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rPr>
          <w:trHeight w:val="88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Проаналізувати якісний склад викладачів допризовної підготовки, добитися повного укомплектування ними навчальних закладів. 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      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01.09.13р.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               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атестацію викладачів допризовної підготовки. Максимально використовувати в навчально – методичній роботі офіцерів запасу, які мають бажання працювати з молоддю.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лютий –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Надати допомогу викладачам допризовної підготовки, які не мають військової освіти, в підготовці їх вступу до вищих навчальних закладів.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червня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</w:tbl>
    <w:p w:rsidR="0008309B" w:rsidRPr="0008309B" w:rsidRDefault="0008309B" w:rsidP="000830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2"/>
        <w:gridCol w:w="5353"/>
        <w:gridCol w:w="1435"/>
        <w:gridCol w:w="2141"/>
      </w:tblGrid>
      <w:tr w:rsidR="0008309B" w:rsidRPr="0008309B" w:rsidTr="0008309B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Підготувати  та   провести   3-денні   навчально-методичні збори з викладачами допризовної підготовки навчальних закладів.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серпень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Проводити щомісячно одноденні навчально-методичні заняття з викладачами допризовної підготовки навчальних закладів.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4-та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місяця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Підготувати  та   провести   3-денні  навчально-методичні заняття з викладачами допризовної підготовки з обміну досвідом роботи.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І УДОСКОНАЛЕННЯ НАВЧАЛЬНО-МАТЕРІАЛЬНОЇ БАЗИ З ДОПРИЗОВНОЇ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ПІДГОТОВКИ ЮНАКІВ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підготовку навчально-матеріальної бази з допризовної підготовки до початку навчального року.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01.09.13р.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Закінчити    створення    повного    комплексу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навчально-матеріальної бази з допризовної підготовки в навчальних закладах.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01.09.14р.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огляд - конкурс  на  кращу навчально-матеріальну базу з допризовної  підготовки серед навчальних закладів міста                            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2013р.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освіти,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Підготувати навчальні місця в навчальних закладах для проведення навчально-польових зборів та польових занять з юнаками 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01.05.14р.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60"/>
              <w:outlineLvl w:val="1"/>
              <w:rPr>
                <w:rFonts w:ascii="Tahoma" w:eastAsia="Times New Roman" w:hAnsi="Tahoma" w:cs="Tahoma"/>
                <w:b/>
                <w:bCs/>
                <w:color w:val="4A4A4A"/>
                <w:sz w:val="14"/>
                <w:szCs w:val="14"/>
                <w:lang w:eastAsia="ru-RU"/>
              </w:rPr>
            </w:pPr>
            <w:r w:rsidRPr="0008309B">
              <w:rPr>
                <w:rFonts w:ascii="Tahoma" w:eastAsia="Times New Roman" w:hAnsi="Tahoma" w:cs="Tahoma"/>
                <w:b/>
                <w:bCs/>
                <w:color w:val="4A4A4A"/>
                <w:sz w:val="24"/>
                <w:szCs w:val="24"/>
                <w:lang w:val="uk-UA" w:eastAsia="ru-RU"/>
              </w:rPr>
              <w:t>ЗАХОДИ З ВІЙСЬКОВО – ПАТРІОТИЧНОЇ РОБОТИ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rPr>
          <w:trHeight w:val="165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На   спільному   засіданні    з     директорами    і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викладачами допризовної підготовки навчальних закладів обміркувати конкретні проблеми військово-патріотичного виховання молоді, відпрацювати заходи з вдосконалення цієї діяльності.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Підвищити виховну роль уроків та позакласних заходів з допризовної підготовки. Більш 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наполегливо виховувати у молоді почуття патріотизму, любові до Батьківщини та готовності до ії захисту, формування національної самосвідомості та духовності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постійно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Організація та проведення культурно-масових заходів за участю молоді, присвячених: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Дню Збройних Сил України 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Днюь захисника Вітчизни    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грудень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Організувати   і  провести    міські    змагання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 команд навчальних закладів з військово-прикладних видів спорту.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 –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2014р.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закладів, відділ у справах сім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0830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ї, молоді та спорту</w:t>
            </w:r>
          </w:p>
        </w:tc>
      </w:tr>
    </w:tbl>
    <w:p w:rsidR="0008309B" w:rsidRPr="0008309B" w:rsidRDefault="0008309B" w:rsidP="000830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9B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1"/>
        <w:gridCol w:w="5351"/>
        <w:gridCol w:w="1432"/>
        <w:gridCol w:w="2147"/>
      </w:tblGrid>
      <w:tr w:rsidR="0008309B" w:rsidRPr="0008309B" w:rsidTr="0008309B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1"/>
                <w:szCs w:val="11"/>
                <w:lang w:eastAsia="ru-RU"/>
              </w:rPr>
            </w:pPr>
            <w:r w:rsidRPr="0008309B">
              <w:rPr>
                <w:rFonts w:ascii="Tahoma" w:eastAsia="Times New Roman" w:hAnsi="Tahoma" w:cs="Tahoma"/>
                <w:color w:val="4A4A4A"/>
                <w:sz w:val="11"/>
                <w:szCs w:val="11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 та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провести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міські змагання серед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команд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навчальних закладів 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з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військово-спортивної гри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“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Зірниця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”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1"/>
                <w:szCs w:val="11"/>
                <w:lang w:eastAsia="ru-RU"/>
              </w:rPr>
            </w:pPr>
            <w:r w:rsidRPr="0008309B">
              <w:rPr>
                <w:rFonts w:ascii="Tahoma" w:eastAsia="Times New Roman" w:hAnsi="Tahoma" w:cs="Tahoma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травень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2014р.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освіти,  відділ у справах сім’ї, молоді та спорту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1"/>
                <w:szCs w:val="11"/>
                <w:lang w:eastAsia="ru-RU"/>
              </w:rPr>
            </w:pPr>
            <w:r w:rsidRPr="0008309B">
              <w:rPr>
                <w:rFonts w:ascii="Tahoma" w:eastAsia="Times New Roman" w:hAnsi="Tahoma" w:cs="Tahoma"/>
                <w:color w:val="4A4A4A"/>
                <w:sz w:val="11"/>
                <w:szCs w:val="11"/>
                <w:lang w:eastAsia="ru-RU"/>
              </w:rPr>
              <w:t>Проведення роботи з молоддю допризовного віку:</w:t>
            </w:r>
          </w:p>
          <w:p w:rsidR="0008309B" w:rsidRPr="0008309B" w:rsidRDefault="0008309B" w:rsidP="0008309B">
            <w:pPr>
              <w:ind w:left="360" w:hanging="360"/>
              <w:rPr>
                <w:rFonts w:ascii="Tahoma" w:eastAsia="Times New Roman" w:hAnsi="Tahoma" w:cs="Tahoma"/>
                <w:color w:val="4A4A4A"/>
                <w:sz w:val="11"/>
                <w:szCs w:val="11"/>
                <w:lang w:eastAsia="ru-RU"/>
              </w:rPr>
            </w:pPr>
            <w:r w:rsidRPr="0008309B">
              <w:rPr>
                <w:rFonts w:ascii="Tahoma" w:eastAsia="Times New Roman" w:hAnsi="Tahoma" w:cs="Tahoma"/>
                <w:color w:val="4A4A4A"/>
                <w:sz w:val="11"/>
                <w:szCs w:val="11"/>
                <w:lang w:val="uk-UA" w:eastAsia="ru-RU"/>
              </w:rPr>
              <w:t>-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szCs w:val="14"/>
                <w:lang w:val="uk-UA" w:eastAsia="ru-RU"/>
              </w:rPr>
              <w:t>       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lang w:val="uk-UA" w:eastAsia="ru-RU"/>
              </w:rPr>
              <w:t> </w:t>
            </w:r>
            <w:r w:rsidRPr="0008309B">
              <w:rPr>
                <w:rFonts w:ascii="Tahoma" w:eastAsia="Times New Roman" w:hAnsi="Tahoma" w:cs="Tahoma"/>
                <w:color w:val="4A4A4A"/>
                <w:sz w:val="11"/>
                <w:szCs w:val="11"/>
                <w:lang w:val="uk-UA" w:eastAsia="ru-RU"/>
              </w:rPr>
              <w:t>проведення семінарів, конференцій, конкурсів з вивчення історії України та українського народу;</w:t>
            </w:r>
          </w:p>
          <w:p w:rsidR="0008309B" w:rsidRPr="0008309B" w:rsidRDefault="0008309B" w:rsidP="0008309B">
            <w:pPr>
              <w:spacing w:after="180" w:line="360" w:lineRule="atLeast"/>
              <w:ind w:left="360" w:hanging="36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szCs w:val="14"/>
                <w:lang w:val="uk-UA" w:eastAsia="ru-RU"/>
              </w:rPr>
              <w:t>       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lang w:val="uk-UA" w:eastAsia="ru-RU"/>
              </w:rPr>
              <w:t>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залучення молоді до проведення військово-патріотичних акцій;</w:t>
            </w:r>
          </w:p>
          <w:p w:rsidR="0008309B" w:rsidRPr="0008309B" w:rsidRDefault="0008309B" w:rsidP="0008309B">
            <w:pPr>
              <w:spacing w:after="180" w:line="360" w:lineRule="atLeast"/>
              <w:ind w:left="360" w:hanging="36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szCs w:val="14"/>
                <w:lang w:val="uk-UA" w:eastAsia="ru-RU"/>
              </w:rPr>
              <w:t>       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lang w:val="uk-UA" w:eastAsia="ru-RU"/>
              </w:rPr>
              <w:t>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упорядкування територій меморіальних комплексів, могил загиблих воїнів;</w:t>
            </w:r>
          </w:p>
          <w:p w:rsidR="0008309B" w:rsidRPr="0008309B" w:rsidRDefault="0008309B" w:rsidP="0008309B">
            <w:pPr>
              <w:spacing w:after="180" w:line="360" w:lineRule="atLeast"/>
              <w:ind w:left="360" w:hanging="360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szCs w:val="14"/>
                <w:lang w:val="uk-UA" w:eastAsia="ru-RU"/>
              </w:rPr>
              <w:t>       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14"/>
                <w:lang w:val="uk-UA" w:eastAsia="ru-RU"/>
              </w:rPr>
              <w:t>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допомога ветеранам війни та праці, вдовам загиблих.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1"/>
                <w:szCs w:val="11"/>
                <w:lang w:eastAsia="ru-RU"/>
              </w:rPr>
            </w:pPr>
            <w:r w:rsidRPr="0008309B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у справах сім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ї, молоді та спорту, відділ освіти,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культури, МВК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Проведення роботи з професійної</w:t>
            </w:r>
            <w:r w:rsidRPr="0008309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орієнтації серед юнаків щодо отримання військової 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спеціальності, з метою підготовки молоді до вступу у військово-навчальні заклади.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постійно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МВК, відділ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освіти, керівники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навчальних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закладів,МК ТСОУ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у справах сім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ї, молоді та спорту</w:t>
            </w:r>
          </w:p>
        </w:tc>
      </w:tr>
      <w:tr w:rsidR="0008309B" w:rsidRPr="0008309B" w:rsidTr="0008309B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8.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Відвідування місць бойової слави регіону юнаками спільно з ветеранами військової служби та ветеранами ВВВ.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у справах сім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ї, молоді та спорту, відділ освіти,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культури, МВК</w:t>
            </w:r>
          </w:p>
        </w:tc>
      </w:tr>
    </w:tbl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Підготував: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Головний спеціаліст Сєвєродонецького МВК      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М.В.Мирошник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60"/>
        <w:outlineLvl w:val="5"/>
        <w:rPr>
          <w:rFonts w:ascii="Tahoma" w:eastAsia="Times New Roman" w:hAnsi="Tahoma" w:cs="Tahoma"/>
          <w:b/>
          <w:bCs/>
          <w:color w:val="76797C"/>
          <w:sz w:val="9"/>
          <w:szCs w:val="9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Керуючий справами виконкому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      Л.Ф.Єфименко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br/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60"/>
        <w:ind w:left="5220"/>
        <w:jc w:val="righ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8309B">
        <w:rPr>
          <w:rFonts w:ascii="Tahoma" w:eastAsia="Times New Roman" w:hAnsi="Tahoma" w:cs="Tahoma"/>
          <w:b/>
          <w:bCs/>
          <w:i/>
          <w:iCs/>
          <w:color w:val="4A4A4A"/>
          <w:sz w:val="29"/>
          <w:lang w:eastAsia="ru-RU"/>
        </w:rPr>
        <w:t> Додаток   3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до рішення виконкому №663                            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від “20”  серпня  2013 року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П Л А Н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контролю і надання допомоги по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допризовній підготовці юнаків в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навчальних закладах міста на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2013 – 2014 р.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63"/>
        <w:gridCol w:w="2310"/>
        <w:gridCol w:w="1965"/>
        <w:gridCol w:w="1433"/>
      </w:tblGrid>
      <w:tr w:rsidR="0008309B" w:rsidRPr="0008309B" w:rsidTr="0008309B">
        <w:tc>
          <w:tcPr>
            <w:tcW w:w="3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Найменування навчальних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закладів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Дата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перевірки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Склад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Комісії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08309B" w:rsidRPr="0008309B" w:rsidTr="0008309B">
        <w:tc>
          <w:tcPr>
            <w:tcW w:w="3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Сєвєродонецький   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багатопрофільний ліцей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жовтень 2013 р.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c>
          <w:tcPr>
            <w:tcW w:w="3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Середня  загальноосвітня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школа № 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листопад 2013 р.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c>
          <w:tcPr>
            <w:tcW w:w="3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Вище професійне училище № 92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грудень 2013 р.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c>
          <w:tcPr>
            <w:tcW w:w="3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Сєвєродонецький </w:t>
            </w:r>
          </w:p>
          <w:p w:rsidR="0008309B" w:rsidRPr="0008309B" w:rsidRDefault="0008309B" w:rsidP="0008309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хіміко-механічний технікум 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 2014 р.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c>
          <w:tcPr>
            <w:tcW w:w="3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Середня загальноосвітня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школа  № 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лютий 2014 р.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c>
          <w:tcPr>
            <w:tcW w:w="3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Середня загальноосвітня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школа  № 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березень 2014 р.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8309B" w:rsidRPr="0008309B" w:rsidTr="0008309B">
        <w:tc>
          <w:tcPr>
            <w:tcW w:w="3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Середня загальноосвітня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школа  № 16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 2014 р.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комплексна</w:t>
            </w:r>
          </w:p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комісія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09B" w:rsidRPr="0008309B" w:rsidRDefault="0008309B" w:rsidP="0008309B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309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lastRenderedPageBreak/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Підготував: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Головний спеціаліст Сєвєродонецького МВК      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М.В.Мирошник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60"/>
        <w:outlineLvl w:val="5"/>
        <w:rPr>
          <w:rFonts w:ascii="Tahoma" w:eastAsia="Times New Roman" w:hAnsi="Tahoma" w:cs="Tahoma"/>
          <w:b/>
          <w:bCs/>
          <w:color w:val="76797C"/>
          <w:sz w:val="9"/>
          <w:szCs w:val="9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Керуючий справами виконкому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       Л.Ф.Єфименко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60"/>
        <w:ind w:left="5220"/>
        <w:jc w:val="righ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8309B">
        <w:rPr>
          <w:rFonts w:ascii="Tahoma" w:eastAsia="Times New Roman" w:hAnsi="Tahoma" w:cs="Tahoma"/>
          <w:b/>
          <w:bCs/>
          <w:i/>
          <w:iCs/>
          <w:color w:val="4A4A4A"/>
          <w:sz w:val="29"/>
          <w:lang w:eastAsia="ru-RU"/>
        </w:rPr>
        <w:t>Додаток   4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до рішення виконкому №663                            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від “20”  серпня  2013 року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08309B" w:rsidRPr="0008309B" w:rsidRDefault="0008309B" w:rsidP="0008309B">
      <w:pPr>
        <w:spacing w:after="180" w:line="360" w:lineRule="atLeast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08309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val="uk-UA" w:eastAsia="ru-RU"/>
        </w:rPr>
        <w:t>С К Л А Д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комісії для здійснення контролю і надання допомоги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навчальним закладам в організації і проведенні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допризовної підготовки молоді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lastRenderedPageBreak/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МИРОШНИК Михайло Васильович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Головний спеціаліст міськвійськкомату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- голова комісії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Члени комісії:        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ХАНЮВЧЕНКО Володимир Іванович 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- начальник відділу у справах сім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’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ї,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                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                                молоді та спорту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КАШИРІНА Ольга Григорівна               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- заст. начальника відділу освіти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МАРЧЕНКО Геннадій Олексійович      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- голова МК ТСОУ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          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Підготував: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Головний спеціаліст Сєвєродонецького МВК                     </w:t>
      </w:r>
      <w:r w:rsidRPr="0008309B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М.В.Мирошник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lastRenderedPageBreak/>
        <w:t> </w:t>
      </w:r>
    </w:p>
    <w:p w:rsidR="0008309B" w:rsidRPr="0008309B" w:rsidRDefault="0008309B" w:rsidP="0008309B">
      <w:pPr>
        <w:shd w:val="clear" w:color="auto" w:fill="FFFFFF"/>
        <w:spacing w:after="60"/>
        <w:outlineLvl w:val="5"/>
        <w:rPr>
          <w:rFonts w:ascii="Tahoma" w:eastAsia="Times New Roman" w:hAnsi="Tahoma" w:cs="Tahoma"/>
          <w:b/>
          <w:bCs/>
          <w:color w:val="76797C"/>
          <w:sz w:val="9"/>
          <w:szCs w:val="9"/>
          <w:lang w:eastAsia="ru-RU"/>
        </w:rPr>
      </w:pP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Керуючий справами виконкому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lang w:val="uk-UA" w:eastAsia="ru-RU"/>
        </w:rPr>
        <w:t> </w:t>
      </w:r>
      <w:r w:rsidRPr="0008309B">
        <w:rPr>
          <w:rFonts w:ascii="Tahoma" w:eastAsia="Times New Roman" w:hAnsi="Tahoma" w:cs="Tahoma"/>
          <w:b/>
          <w:bCs/>
          <w:color w:val="76797C"/>
          <w:sz w:val="9"/>
          <w:szCs w:val="9"/>
          <w:lang w:val="uk-UA" w:eastAsia="ru-RU"/>
        </w:rPr>
        <w:t>                  Л.Ф.Єфименко</w:t>
      </w:r>
    </w:p>
    <w:p w:rsidR="0008309B" w:rsidRPr="0008309B" w:rsidRDefault="0008309B" w:rsidP="0008309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08309B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08309B"/>
    <w:rsid w:val="0008309B"/>
    <w:rsid w:val="00B54CD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8309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830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08309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08309B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30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30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830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8309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0830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309B"/>
  </w:style>
  <w:style w:type="character" w:styleId="a4">
    <w:name w:val="Emphasis"/>
    <w:basedOn w:val="a0"/>
    <w:uiPriority w:val="20"/>
    <w:qFormat/>
    <w:rsid w:val="0008309B"/>
    <w:rPr>
      <w:i/>
      <w:iCs/>
    </w:rPr>
  </w:style>
  <w:style w:type="character" w:styleId="a5">
    <w:name w:val="Strong"/>
    <w:basedOn w:val="a0"/>
    <w:uiPriority w:val="22"/>
    <w:qFormat/>
    <w:rsid w:val="0008309B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0830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83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30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83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1940</Words>
  <Characters>11064</Characters>
  <Application>Microsoft Office Word</Application>
  <DocSecurity>0</DocSecurity>
  <Lines>92</Lines>
  <Paragraphs>25</Paragraphs>
  <ScaleCrop>false</ScaleCrop>
  <Company>Северодонецкие вести</Company>
  <LinksUpToDate>false</LinksUpToDate>
  <CharactersWithSpaces>12979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2016-08-23T08:04:00Z</dcterms:created>
  <dcterms:modified xsi:type="dcterms:W3CDTF">2016-08-23T08:13:00Z</dcterms:modified>
</cp:coreProperties>
</file>