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pacing w:lineRule="auto" w:line="259" w:before="0" w:after="160"/>
        <w:ind w:hanging="0" w:start="0"/>
        <w:jc w:val="center"/>
        <w:rPr>
          <w:rFonts w:ascii="Times New Roman" w:hAnsi="Times New Roman" w:cs="Times New Roman"/>
          <w:sz w:val="28"/>
          <w:szCs w:val="28"/>
          <w:lang w:eastAsia="en-US"/>
        </w:rPr>
      </w:pPr>
      <w:r>
        <w:rPr>
          <w:rFonts w:cs="Times New Roman" w:ascii="Times New Roman" w:hAnsi="Times New Roman"/>
          <w:sz w:val="20"/>
          <w:szCs w:val="24"/>
          <w:lang w:eastAsia="en-US"/>
        </w:rPr>
        <w:tab/>
        <w:tab/>
        <w:tab/>
        <w:tab/>
        <w:tab/>
        <w:tab/>
      </w:r>
      <w:r>
        <w:rPr>
          <w:rFonts w:cs="Times New Roman" w:ascii="Times New Roman" w:hAnsi="Times New Roman"/>
          <w:sz w:val="28"/>
          <w:szCs w:val="28"/>
          <w:lang w:eastAsia="en-US"/>
        </w:rPr>
        <w:t>Додаток 3</w:t>
      </w:r>
    </w:p>
    <w:p>
      <w:pPr>
        <w:pStyle w:val="Normal"/>
        <w:widowControl/>
        <w:spacing w:lineRule="auto" w:line="259" w:before="0" w:after="160"/>
        <w:ind w:start="4248"/>
        <w:jc w:val="center"/>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spacing w:lineRule="auto" w:line="259" w:before="0" w:after="160"/>
        <w:ind w:start="4248"/>
        <w:jc w:val="center"/>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spacing w:lineRule="auto" w:line="259" w:before="0" w:after="160"/>
        <w:ind w:start="4248"/>
        <w:jc w:val="center"/>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spacing w:lineRule="auto" w:line="259" w:before="0" w:after="160"/>
        <w:jc w:val="center"/>
        <w:rPr>
          <w:rFonts w:ascii="Times New Roman" w:hAnsi="Times New Roman" w:cs="Times New Roman"/>
          <w:b/>
          <w:bCs/>
          <w:sz w:val="28"/>
          <w:szCs w:val="28"/>
        </w:rPr>
      </w:pPr>
      <w:r>
        <w:rPr>
          <w:rFonts w:cs="Times New Roman" w:ascii="Times New Roman" w:hAnsi="Times New Roman"/>
          <w:b/>
          <w:bCs/>
          <w:sz w:val="28"/>
          <w:szCs w:val="28"/>
        </w:rPr>
        <w:t>ГРАНТОВА ТА ІНШІ ВИДИ ПІДТРИМКИ ВІД МІЖНАРОДНИХ ПАРТНЕРІВ</w:t>
      </w:r>
    </w:p>
    <w:p>
      <w:pPr>
        <w:pStyle w:val="Normal"/>
        <w:widowControl/>
        <w:spacing w:lineRule="auto" w:line="259" w:before="0" w:after="160"/>
        <w:jc w:val="center"/>
        <w:rPr>
          <w:rFonts w:ascii="Times New Roman" w:hAnsi="Times New Roman" w:cs="Times New Roman"/>
          <w:b/>
          <w:bCs/>
          <w:sz w:val="28"/>
          <w:szCs w:val="28"/>
          <w:lang w:eastAsia="en-US"/>
        </w:rPr>
      </w:pPr>
      <w:r>
        <w:rPr>
          <w:rFonts w:cs="Times New Roman" w:ascii="Times New Roman" w:hAnsi="Times New Roman"/>
          <w:b/>
          <w:bCs/>
          <w:sz w:val="28"/>
          <w:szCs w:val="28"/>
          <w:lang w:eastAsia="en-US"/>
        </w:rPr>
      </w:r>
    </w:p>
    <w:p>
      <w:pPr>
        <w:pStyle w:val="TableParagraph"/>
        <w:spacing w:lineRule="auto" w:line="269" w:before="13" w:after="0"/>
        <w:ind w:firstLine="708" w:start="0" w:end="488"/>
        <w:rPr>
          <w:w w:val="105"/>
          <w:sz w:val="28"/>
          <w:szCs w:val="28"/>
        </w:rPr>
      </w:pPr>
      <w:r>
        <w:rPr>
          <w:b/>
          <w:spacing w:val="-2"/>
          <w:w w:val="105"/>
          <w:sz w:val="28"/>
          <w:szCs w:val="28"/>
        </w:rPr>
        <w:t>Ваучер на відновлення бізнесу у Львівській МТГ</w:t>
        <w:br/>
        <w:tab/>
      </w:r>
      <w:r>
        <w:rPr>
          <w:w w:val="105"/>
          <w:sz w:val="28"/>
          <w:szCs w:val="28"/>
        </w:rPr>
        <w:t xml:space="preserve">Львівська міська рада та Центр підтримки підприємництва надають можливість підприємцям отримати ваучер у розмірі до 2 млн грн на відновлення бізнесу, що постраждав внаслідок ракетних обстрілів. Програма спрямована на відновлення економічної активності, ремонт інфраструктури, закупівлю обладнання та забезпечення безперервності господарської діяльності. </w:t>
      </w:r>
    </w:p>
    <w:p>
      <w:pPr>
        <w:pStyle w:val="TableParagraph"/>
        <w:spacing w:lineRule="auto" w:line="269" w:before="13" w:after="0"/>
        <w:ind w:firstLine="708" w:start="0" w:end="488"/>
        <w:rPr>
          <w:w w:val="105"/>
          <w:sz w:val="28"/>
          <w:szCs w:val="28"/>
        </w:rPr>
      </w:pPr>
      <w:r>
        <w:rPr>
          <w:w w:val="105"/>
          <w:sz w:val="28"/>
          <w:szCs w:val="28"/>
        </w:rPr>
        <w:t xml:space="preserve">Ваучер можна витратити на: </w:t>
      </w:r>
    </w:p>
    <w:p>
      <w:pPr>
        <w:pStyle w:val="TableParagraph"/>
        <w:spacing w:lineRule="auto" w:line="269" w:before="13" w:after="0"/>
        <w:ind w:firstLine="708" w:start="0" w:end="488"/>
        <w:rPr>
          <w:w w:val="105"/>
          <w:sz w:val="28"/>
          <w:szCs w:val="28"/>
        </w:rPr>
      </w:pPr>
      <w:r>
        <w:rPr>
          <w:w w:val="105"/>
          <w:sz w:val="28"/>
          <w:szCs w:val="28"/>
        </w:rPr>
        <w:t xml:space="preserve">- відновлення, ремонт, реконструкцію знищеного або пошкодженого нерухомого майна (закупівлю будівельних матеріалів, оплату будівельних та ремонтних робіт і послуг); </w:t>
      </w:r>
    </w:p>
    <w:p>
      <w:pPr>
        <w:pStyle w:val="TableParagraph"/>
        <w:spacing w:lineRule="auto" w:line="269" w:before="13" w:after="0"/>
        <w:ind w:firstLine="708" w:start="0" w:end="488"/>
        <w:rPr>
          <w:w w:val="105"/>
          <w:sz w:val="28"/>
          <w:szCs w:val="28"/>
        </w:rPr>
      </w:pPr>
      <w:r>
        <w:rPr>
          <w:w w:val="105"/>
          <w:sz w:val="28"/>
          <w:szCs w:val="28"/>
        </w:rPr>
        <w:t xml:space="preserve">- закупівлю/заміну/ремонт знищеного обладнання; </w:t>
      </w:r>
    </w:p>
    <w:p>
      <w:pPr>
        <w:pStyle w:val="TableParagraph"/>
        <w:spacing w:lineRule="auto" w:line="269" w:before="13" w:after="0"/>
        <w:ind w:firstLine="708" w:start="0" w:end="488"/>
        <w:rPr>
          <w:w w:val="105"/>
          <w:sz w:val="28"/>
          <w:szCs w:val="28"/>
        </w:rPr>
      </w:pPr>
      <w:r>
        <w:rPr>
          <w:w w:val="105"/>
          <w:sz w:val="28"/>
          <w:szCs w:val="28"/>
        </w:rPr>
        <w:t xml:space="preserve">- закупівлю сировини та матеріалів для господарської діяльності; </w:t>
      </w:r>
    </w:p>
    <w:p>
      <w:pPr>
        <w:pStyle w:val="TableParagraph"/>
        <w:spacing w:lineRule="auto" w:line="269" w:before="13" w:after="0"/>
        <w:ind w:firstLine="708" w:start="0" w:end="488"/>
        <w:rPr>
          <w:w w:val="105"/>
          <w:sz w:val="28"/>
          <w:szCs w:val="28"/>
        </w:rPr>
      </w:pPr>
      <w:r>
        <w:rPr>
          <w:w w:val="105"/>
          <w:sz w:val="28"/>
          <w:szCs w:val="28"/>
        </w:rPr>
        <w:t>- інші необхідні для господарської діяльності витрати.</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ваучер на відновлення бізнесу</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не зазначено</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участь у програмі ваучерної підтримки можуть взяти юридичні особи та фізичні особи-підприємці, які зареєстровані на території Львівської МТГ і постраждали від ракетних обстрілів</w:t>
      </w:r>
    </w:p>
    <w:p>
      <w:pPr>
        <w:pStyle w:val="Normal"/>
        <w:widowControl/>
        <w:spacing w:lineRule="auto" w:line="259" w:before="0" w:after="160"/>
        <w:ind w:start="0"/>
        <w:rPr>
          <w:rFonts w:ascii="Times New Roman" w:hAnsi="Times New Roman" w:eastAsia="Calibri" w:cs="Times New Roman"/>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Львівська міська територіальна громада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2">
        <w:r>
          <w:rPr>
            <w:rStyle w:val="Hyperlink"/>
            <w:rFonts w:eastAsia="Calibri" w:ascii="Times New Roman" w:hAnsi="Times New Roman"/>
            <w:sz w:val="28"/>
            <w:szCs w:val="28"/>
            <w:lang w:eastAsia="en-US"/>
          </w:rPr>
          <w:t>https://www.cpp.lviv.ua/vaucher-na-vidnovlennia/</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sz w:val="28"/>
          <w:szCs w:val="28"/>
          <w:u w:val="single"/>
          <w:lang w:eastAsia="en-US"/>
        </w:rPr>
      </w:pPr>
      <w:r>
        <w:rPr>
          <w:rFonts w:eastAsia="Calibri" w:cs="Times New Roman" w:ascii="Times New Roman" w:hAnsi="Times New Roman"/>
          <w:sz w:val="28"/>
          <w:szCs w:val="28"/>
          <w:u w:val="single"/>
          <w:lang w:eastAsia="en-US"/>
        </w:rPr>
      </w:r>
    </w:p>
    <w:p>
      <w:pPr>
        <w:pStyle w:val="Normal"/>
        <w:spacing w:before="0" w:after="0"/>
        <w:ind w:start="0"/>
        <w:rPr>
          <w:rFonts w:ascii="Times New Roman" w:hAnsi="Times New Roman" w:cs="Times New Roman"/>
          <w:b/>
          <w:sz w:val="28"/>
          <w:szCs w:val="28"/>
        </w:rPr>
      </w:pPr>
      <w:r>
        <w:rPr>
          <w:rFonts w:cs="Times New Roman" w:ascii="Times New Roman" w:hAnsi="Times New Roman"/>
          <w:b/>
          <w:sz w:val="28"/>
          <w:szCs w:val="28"/>
        </w:rPr>
      </w:r>
    </w:p>
    <w:p>
      <w:pPr>
        <w:pStyle w:val="TableParagraph"/>
        <w:spacing w:lineRule="auto" w:line="269" w:before="13" w:after="0"/>
        <w:ind w:firstLine="708" w:start="0" w:end="488"/>
        <w:rPr>
          <w:w w:val="105"/>
          <w:sz w:val="28"/>
          <w:szCs w:val="28"/>
        </w:rPr>
      </w:pPr>
      <w:r>
        <w:rPr>
          <w:b/>
          <w:spacing w:val="-2"/>
          <w:w w:val="105"/>
          <w:sz w:val="28"/>
          <w:szCs w:val="28"/>
        </w:rPr>
        <w:t>Грантова програма з розробки та впровадження інноваційних рішень для PV-систем</w:t>
        <w:br/>
        <w:tab/>
      </w:r>
      <w:r>
        <w:rPr>
          <w:w w:val="105"/>
          <w:sz w:val="28"/>
          <w:szCs w:val="28"/>
        </w:rPr>
        <w:t xml:space="preserve">Європейський Союз у межах програми Horizon Europe оголошує грантову програму з розробки та впровадження рішень, які продовжують термін використання фотоелектричних модулів на основі кристалічного кремнію. Ініціатива має на меті знизити рівень деградації PV-модулів під час експлуатації, підвищити їхню надійність і стабільність роботи, удосконалити матеріали та технології виробництва, а також розробити ефективні способи раннього виявлення й усунення дефектів. </w:t>
      </w:r>
    </w:p>
    <w:p>
      <w:pPr>
        <w:pStyle w:val="TableParagraph"/>
        <w:spacing w:lineRule="auto" w:line="269" w:before="13" w:after="0"/>
        <w:ind w:firstLine="708" w:start="0" w:end="488"/>
        <w:rPr>
          <w:w w:val="105"/>
          <w:sz w:val="28"/>
          <w:szCs w:val="28"/>
        </w:rPr>
      </w:pPr>
      <w:r>
        <w:rPr>
          <w:w w:val="105"/>
          <w:sz w:val="28"/>
          <w:szCs w:val="28"/>
        </w:rPr>
        <w:t>Грантове фінансування у межах програми – до 4 млн євро.</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17.02.2026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участь у програмі можуть взяти консорціуми, які складаються зі щонайменше трьох юридичних осіб із різних країн ЄС або асоційованих країн Horizon Europe, зокрема: - виробники PV-модулів; - дослідницькі інститути та університети; - компанії, що займаються тестуванням, сертифікацією та ремонтними технологіями; - кінцеві користувачі PV-систем.</w:t>
      </w:r>
    </w:p>
    <w:p>
      <w:pPr>
        <w:pStyle w:val="Normal"/>
        <w:widowControl/>
        <w:spacing w:lineRule="auto" w:line="259" w:before="0" w:after="160"/>
        <w:ind w:start="0"/>
        <w:rPr>
          <w:rFonts w:ascii="Times New Roman" w:hAnsi="Times New Roman" w:eastAsia="Calibri" w:cs="Times New Roman"/>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3">
        <w:r>
          <w:rPr>
            <w:rStyle w:val="Hyperlink"/>
            <w:rFonts w:eastAsia="Calibri" w:ascii="Times New Roman" w:hAnsi="Times New Roman"/>
            <w:sz w:val="28"/>
            <w:szCs w:val="28"/>
            <w:lang w:eastAsia="en-US"/>
          </w:rPr>
          <w:t>https://business.diia.gov.ua/news/hrantova-prohrama-dlia-pv-system</w:t>
        </w:r>
      </w:hyperlink>
    </w:p>
    <w:p>
      <w:pPr>
        <w:pStyle w:val="Normal"/>
        <w:spacing w:before="0" w:after="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spacing w:before="0" w:after="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spacing w:before="0" w:after="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TableParagraph"/>
        <w:spacing w:lineRule="auto" w:line="269" w:before="13" w:after="0"/>
        <w:ind w:firstLine="708" w:start="0" w:end="488"/>
        <w:rPr>
          <w:w w:val="105"/>
          <w:sz w:val="28"/>
          <w:szCs w:val="28"/>
        </w:rPr>
      </w:pPr>
      <w:r>
        <w:rPr>
          <w:b/>
          <w:spacing w:val="-2"/>
          <w:w w:val="105"/>
          <w:sz w:val="28"/>
          <w:szCs w:val="28"/>
        </w:rPr>
        <w:t>Грантовий конкурс із розвитку підприємництва в Україні</w:t>
        <w:br/>
        <w:tab/>
      </w:r>
      <w:r>
        <w:rPr>
          <w:w w:val="105"/>
          <w:sz w:val="28"/>
          <w:szCs w:val="28"/>
        </w:rPr>
        <w:t>Посольство України в Королівстві Норвегії за підтримки Дирекції зі співробітництва у сфері розвитку (Norad) у межах «Програми Нансена для України» оголошують про початок прийому проєктних заявок на грантову програму з розвитку підприємництва в Україні. Ініціатива спрямована на підтримку перспективних для інвестування проєктів у сферах енергетики, інфраструктури та продовольчої безпеки, які сприятимуть перетворенню економіки України з експортера первинної сировини на потужного виробника готової продукції з високою доданою вартістю. Загальний бюджет грантового конкурсу становить 30 000 000 норвезьких крон (близько 2,73 млн доларів США).</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не зазначено</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участь у конкурсі можуть взяти українські, норвезькі та міжнародні підприємства. Перевага надаватиметься тим проєктам, які зроблять найбільший внесок у досягнення цілей грантової програми, пріоритетами якої є: - Підвищення спроможності України самостійно вирішувати свої майбутнє; - Покращення фінансової стабільності держави та підтримка критично важливих суспільних функцій; - Удосконалення державного управління відповідно до вимог вступу до ЄС. Заявки від холдингових, інвестиційних, консалтингових компаній, а також постачальників обладнання до участі не прийматимуться</w:t>
      </w:r>
    </w:p>
    <w:p>
      <w:pPr>
        <w:pStyle w:val="Normal"/>
        <w:widowControl/>
        <w:spacing w:lineRule="auto" w:line="259" w:before="0" w:after="160"/>
        <w:ind w:start="0"/>
        <w:rPr>
          <w:rFonts w:ascii="Times New Roman" w:hAnsi="Times New Roman" w:eastAsia="Calibri" w:cs="Times New Roman"/>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4">
        <w:r>
          <w:rPr>
            <w:rStyle w:val="Hyperlink"/>
            <w:rFonts w:eastAsia="Calibri" w:ascii="Times New Roman" w:hAnsi="Times New Roman"/>
            <w:sz w:val="28"/>
            <w:szCs w:val="28"/>
            <w:lang w:eastAsia="en-US"/>
          </w:rPr>
          <w:t>https://business.diia.gov.ua/news/hrantovyi_konkurs_iz_rozvytku_pidpryiemnytstva_v_ukraini</w:t>
        </w:r>
      </w:hyperlink>
    </w:p>
    <w:p>
      <w:pPr>
        <w:pStyle w:val="Normal"/>
        <w:spacing w:before="0" w:after="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spacing w:before="0" w:after="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spacing w:before="0" w:after="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TableParagraph"/>
        <w:spacing w:lineRule="auto" w:line="269" w:before="13" w:after="0"/>
        <w:ind w:firstLine="708" w:start="0" w:end="488"/>
        <w:rPr>
          <w:w w:val="105"/>
          <w:sz w:val="28"/>
          <w:szCs w:val="28"/>
        </w:rPr>
      </w:pPr>
      <w:r>
        <w:rPr>
          <w:b/>
          <w:spacing w:val="-2"/>
          <w:w w:val="105"/>
          <w:sz w:val="28"/>
          <w:szCs w:val="28"/>
        </w:rPr>
        <w:t>Програма ЄС «Цифрова Європа» 2021-2027</w:t>
        <w:br/>
        <w:tab/>
      </w:r>
      <w:r>
        <w:rPr>
          <w:w w:val="105"/>
          <w:sz w:val="28"/>
          <w:szCs w:val="28"/>
        </w:rPr>
        <w:t>Конкурси Програми спрямовані на розвиток передових цифрових навичок, впровадження цифрових технологій на підприємствах, розбудову цифрової інфраструктури та на ще більшу доступність цифрових послуг для громадян і державних інституцій країн Європейського Союзу та асоційованих до Програми країн.</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2027 року</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відповідно до програмних умов конкурсу</w:t>
      </w:r>
    </w:p>
    <w:p>
      <w:pPr>
        <w:pStyle w:val="Normal"/>
        <w:widowControl/>
        <w:spacing w:lineRule="auto" w:line="259" w:before="0" w:after="160"/>
        <w:ind w:start="0"/>
        <w:rPr>
          <w:rFonts w:ascii="Times New Roman" w:hAnsi="Times New Roman" w:eastAsia="Calibri" w:cs="Times New Roman"/>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5">
        <w:r>
          <w:rPr>
            <w:rStyle w:val="Hyperlink"/>
            <w:rFonts w:eastAsia="Calibri" w:ascii="Times New Roman" w:hAnsi="Times New Roman"/>
            <w:sz w:val="28"/>
            <w:szCs w:val="28"/>
            <w:lang w:eastAsia="en-US"/>
          </w:rPr>
          <w:t>https://surl.li/nxyour</w:t>
        </w:r>
      </w:hyperlink>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TableParagraph"/>
        <w:spacing w:lineRule="auto" w:line="269" w:before="13" w:after="0"/>
        <w:ind w:firstLine="708" w:start="0" w:end="488"/>
        <w:rPr>
          <w:w w:val="105"/>
          <w:sz w:val="28"/>
          <w:szCs w:val="28"/>
        </w:rPr>
      </w:pPr>
      <w:r>
        <w:rPr>
          <w:b/>
          <w:spacing w:val="-2"/>
          <w:w w:val="105"/>
          <w:sz w:val="28"/>
          <w:szCs w:val="28"/>
        </w:rPr>
        <w:t>Конкурс на підтримку проєктів у сфері генеративного ШІ для МСП і стартапів</w:t>
        <w:br/>
        <w:tab/>
      </w:r>
      <w:r>
        <w:rPr>
          <w:w w:val="105"/>
          <w:sz w:val="28"/>
          <w:szCs w:val="28"/>
        </w:rPr>
        <w:t xml:space="preserve">Європейська комісія у межах програми «Цифрова Європа» оголошує конкурс, спрямований на розробку генеративних AI-моделей. Ініціатива має на меті підтримати малі та середні підприємства і стартапи у розробці та кастомізації генеративних AI-моделей із використанням європейських суперкомп’ютерів (HPC), що має підсилити їхню інноваційність і конкурентоспроможність. </w:t>
      </w:r>
    </w:p>
    <w:p>
      <w:pPr>
        <w:pStyle w:val="TableParagraph"/>
        <w:spacing w:lineRule="auto" w:line="269" w:before="13" w:after="0"/>
        <w:ind w:firstLine="708" w:start="0" w:end="488"/>
        <w:rPr>
          <w:w w:val="105"/>
          <w:sz w:val="28"/>
          <w:szCs w:val="28"/>
        </w:rPr>
      </w:pPr>
      <w:r>
        <w:rPr>
          <w:w w:val="105"/>
          <w:sz w:val="28"/>
          <w:szCs w:val="28"/>
        </w:rPr>
        <w:t xml:space="preserve">Конкурсом передбачено створення підпроєктів, розробку та тестування генеративних моделей ШІ, управління даними за принципами FAIR, оцінку показників ефективності моделей та підготовку проміжного звіту про потенційний бізнес- та соціальний вплив до кінця сьомого місяця. </w:t>
      </w:r>
    </w:p>
    <w:p>
      <w:pPr>
        <w:pStyle w:val="TableParagraph"/>
        <w:spacing w:lineRule="auto" w:line="269" w:before="13" w:after="0"/>
        <w:ind w:firstLine="708" w:start="0" w:end="488"/>
        <w:rPr>
          <w:w w:val="105"/>
          <w:sz w:val="28"/>
          <w:szCs w:val="28"/>
        </w:rPr>
      </w:pPr>
      <w:r>
        <w:rPr>
          <w:w w:val="105"/>
          <w:sz w:val="28"/>
          <w:szCs w:val="28"/>
        </w:rPr>
        <w:t xml:space="preserve">Типи фінансування: </w:t>
      </w:r>
    </w:p>
    <w:p>
      <w:pPr>
        <w:pStyle w:val="TableParagraph"/>
        <w:spacing w:lineRule="auto" w:line="269" w:before="13" w:after="0"/>
        <w:ind w:firstLine="708" w:start="0" w:end="488"/>
        <w:rPr>
          <w:w w:val="105"/>
          <w:sz w:val="28"/>
          <w:szCs w:val="28"/>
        </w:rPr>
      </w:pPr>
      <w:r>
        <w:rPr>
          <w:w w:val="105"/>
          <w:sz w:val="28"/>
          <w:szCs w:val="28"/>
        </w:rPr>
        <w:t xml:space="preserve">До 200 000 євро – для одного основного учасника. </w:t>
      </w:r>
    </w:p>
    <w:p>
      <w:pPr>
        <w:pStyle w:val="TableParagraph"/>
        <w:spacing w:lineRule="auto" w:line="269" w:before="13" w:after="0"/>
        <w:ind w:firstLine="708" w:start="0" w:end="488"/>
        <w:rPr>
          <w:w w:val="105"/>
          <w:sz w:val="28"/>
          <w:szCs w:val="28"/>
        </w:rPr>
      </w:pPr>
      <w:r>
        <w:rPr>
          <w:w w:val="105"/>
          <w:sz w:val="28"/>
          <w:szCs w:val="28"/>
        </w:rPr>
        <w:t>До 300 000 євро – якщо в консорціумі є організації підтримки.</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25.02.2026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 конкурсі можуть брати участь малі та середні підприємства (SMEs) або стартапи (головні учасники), зареєстровані в державах-членах ЄС, країнах ЄЕЗ або державах, асоційованих програмою «Цифрова Європа». Учасники повинні мати компетенції у генеративному штучному інтелекті, професійній розробці програмного забезпечення та обробці даних.  До консорціуму може входити до двох додаткових допоміжних учасників, що забезпечують технічну чи інженерну підтримки, але загальна кількість партнерів обмежена трьома</w:t>
      </w:r>
    </w:p>
    <w:p>
      <w:pPr>
        <w:pStyle w:val="Normal"/>
        <w:widowControl/>
        <w:spacing w:lineRule="auto" w:line="259" w:before="0" w:after="160"/>
        <w:ind w:start="0"/>
        <w:rPr>
          <w:rFonts w:ascii="Times New Roman" w:hAnsi="Times New Roman" w:eastAsia="Calibri" w:cs="Times New Roman"/>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6">
        <w:r>
          <w:rPr>
            <w:rStyle w:val="Hyperlink"/>
            <w:rFonts w:eastAsia="Calibri" w:ascii="Times New Roman" w:hAnsi="Times New Roman"/>
            <w:sz w:val="28"/>
            <w:szCs w:val="28"/>
            <w:lang w:eastAsia="en-US"/>
          </w:rPr>
          <w:t>https://business.diia.gov.ua/news/konkurs-na-pidtrymku-proiektiv-u-sferi-heneratyvnoho-shi-dlia-msp-i-startapiv</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t xml:space="preserve">  </w:t>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Часткове покриття оренди державного майна від Благодійного фонду «Дихай»</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Гранти для покриття частини орендної плати орендарів (представників МСБ) державного майна, що надають суттєву особисту та/або майнову допомогу у зв’язку з військовою агресією російської федерації проти України</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грант</w:t>
      </w:r>
    </w:p>
    <w:p>
      <w:pPr>
        <w:pStyle w:val="Normal"/>
        <w:widowControl/>
        <w:spacing w:lineRule="auto" w:line="259" w:before="0" w:after="160"/>
        <w:ind w:start="0"/>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на час воєнного стану</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усі галузі</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7">
        <w:r>
          <w:rPr>
            <w:rStyle w:val="Hyperlink"/>
            <w:rFonts w:eastAsia="Calibri" w:ascii="Times New Roman" w:hAnsi="Times New Roman"/>
            <w:sz w:val="28"/>
            <w:szCs w:val="28"/>
            <w:lang w:eastAsia="en-US"/>
          </w:rPr>
          <w:t>https://dyhai.org/gra</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Грантова підтримка консалтингових проектів від ЄБРР у партнерстві з онлайн платформою експертних рішень MEREZHA</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Цільова безповоротна фінансова допомога підприємствам з метою залучення фахових консультантів для вирішення актуальних завдань бізнесу. Виплачується підприємству як часткова компенсація витрат (85%) на послуги консультанта після успішного завершення консультаційного проекту. Доступ до професійної експертизи у таких сферах: стратегія, маркетинг, операційна ефективність, організаційний розвиток, впровадження ІТ, управління фінансами та ін.</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грант</w:t>
      </w:r>
    </w:p>
    <w:p>
      <w:pPr>
        <w:pStyle w:val="Normal"/>
        <w:widowControl/>
        <w:spacing w:lineRule="auto" w:line="259" w:before="0" w:after="160"/>
        <w:ind w:start="0"/>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постійно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усі галузі, СПД: більше 2-х років роботи на ринку, понад 50% компанії повинно належати громадянам України, штат компанії має налічувати від 10 до 500 співробітників, гарна ділова репутація, потреба в залученні консультанта</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hyperlink r:id="rId8">
        <w:r>
          <w:rPr>
            <w:rStyle w:val="Hyperlink"/>
            <w:rFonts w:eastAsia="Calibri" w:ascii="Times New Roman" w:hAnsi="Times New Roman"/>
            <w:sz w:val="28"/>
            <w:szCs w:val="28"/>
            <w:lang w:eastAsia="en-US"/>
          </w:rPr>
          <w:t>https://www.merezha.ua/grants/ebrd-asb?fbclid=IwAR2mk1hKHvWAm58tzVUmizfdLr5viJTKfp0HNJrXf5HFL05nNPrkbpZoL_4</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Ангельський венчурний фонд Angel One створений Фундацією Українського Католицького Університету</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Інвестиції в українські стартапи в усіх технологічних категоріях у розмірі від 50 тис. долл. США до 200 тис. долл. США. Основний акцент зроблено на таких напрямках, як FinTech, SaaS, EdTech, AI/ML. Третина інвестицій буде спрямована в Edtech стартапи та ті, що прагнуть зробити істотний внесок у вирішення глобальних проблем.</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інвестиції в стартапи</w:t>
      </w:r>
    </w:p>
    <w:p>
      <w:pPr>
        <w:pStyle w:val="Normal"/>
        <w:widowControl/>
        <w:spacing w:lineRule="auto" w:line="259" w:before="0" w:after="160"/>
        <w:ind w:start="0"/>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eastAsia="Calibri" w:cs="Times New Roman"/>
          <w:b/>
          <w:spacing w:val="-2"/>
          <w:w w:val="105"/>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Стартапи, які мають мінімальний життєздатний продукт, провалідований принаймні на одному ринку, можуть продемонструвати початковий ріст клієнтів/користувачів / продажів, мають потенціал та готові масштабуватися на інші ринки, та працюють у таких напрямках як FinTech, SaaS, EdTech, AI/ML</w:t>
      </w:r>
      <w:r>
        <w:rPr/>
        <w:t xml:space="preserve"> </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fldChar w:fldCharType="begin"/>
      </w:r>
      <w:r>
        <w:rPr>
          <w:rStyle w:val="Hyperlink"/>
          <w:rFonts w:eastAsia="Calibri" w:ascii="Times New Roman" w:hAnsi="Times New Roman"/>
          <w:sz w:val="28"/>
          <w:szCs w:val="28"/>
          <w:lang w:eastAsia="en-US"/>
        </w:rPr>
        <w:instrText xml:space="preserve"> HYPERLINK "https://www.angelone.fund/" \l "Contact-Form"</w:instrText>
      </w:r>
      <w:r>
        <w:rPr>
          <w:rStyle w:val="Hyperlink"/>
          <w:rFonts w:eastAsia="Calibri" w:ascii="Times New Roman" w:hAnsi="Times New Roman"/>
          <w:sz w:val="28"/>
          <w:szCs w:val="28"/>
          <w:lang w:eastAsia="en-US"/>
        </w:rPr>
        <w:fldChar w:fldCharType="separate"/>
      </w:r>
      <w:r>
        <w:rPr>
          <w:rStyle w:val="Hyperlink"/>
          <w:rFonts w:eastAsia="Calibri" w:ascii="Times New Roman" w:hAnsi="Times New Roman"/>
          <w:sz w:val="28"/>
          <w:szCs w:val="28"/>
          <w:lang w:eastAsia="en-US"/>
        </w:rPr>
        <w:t>https://www.angelone.fund/#Contact-Form</w:t>
      </w:r>
      <w:r>
        <w:rPr>
          <w:rStyle w:val="Hyperlink"/>
          <w:rFonts w:eastAsia="Calibri" w:ascii="Times New Roman" w:hAnsi="Times New Roman"/>
          <w:sz w:val="28"/>
          <w:szCs w:val="28"/>
          <w:lang w:eastAsia="en-US"/>
        </w:rPr>
        <w:fldChar w:fldCharType="end"/>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«Постійний конкурс творців» Фонду «Це Крафт»</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Грант на виготовлення прототипу творчого продукту (прототипу) в рамках «Постійного конкурсу творців» для підтримки мікропідприємств крафтовиків і ремісників</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грант</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щокварталу до 20 числа травня, серпня, листопада, лютого</w:t>
      </w:r>
    </w:p>
    <w:p>
      <w:pPr>
        <w:pStyle w:val="Normal"/>
        <w:widowControl/>
        <w:spacing w:lineRule="auto" w:line="259" w:before="0" w:after="160"/>
        <w:ind w:start="0"/>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4"/>
          <w:szCs w:val="24"/>
        </w:rPr>
        <w:t>Усі галузі</w:t>
      </w:r>
      <w:r>
        <w:rPr/>
        <w:t xml:space="preserve"> </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9">
        <w:r>
          <w:rPr>
            <w:rStyle w:val="Hyperlink"/>
            <w:rFonts w:eastAsia="Calibri" w:ascii="Times New Roman" w:hAnsi="Times New Roman"/>
            <w:sz w:val="28"/>
            <w:szCs w:val="28"/>
            <w:lang w:eastAsia="en-US"/>
          </w:rPr>
          <w:t>https://itscraft.com.ua/postiyniy-konkurs-tvortsiv/</w:t>
        </w:r>
      </w:hyperlink>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r>
    </w:p>
    <w:p>
      <w:pPr>
        <w:pStyle w:val="Normal"/>
        <w:widowControl/>
        <w:spacing w:lineRule="auto" w:line="259" w:before="0" w:after="160"/>
        <w:ind w:start="0"/>
        <w:jc w:val="start"/>
        <w:rPr>
          <w:rFonts w:ascii="Times New Roman" w:hAnsi="Times New Roman" w:cs="Times New Roman"/>
          <w:b/>
          <w:bCs/>
          <w:sz w:val="28"/>
          <w:szCs w:val="28"/>
        </w:rPr>
      </w:pPr>
      <w:r>
        <w:rPr>
          <w:rFonts w:cs="Times New Roman" w:ascii="Times New Roman" w:hAnsi="Times New Roman"/>
          <w:b/>
          <w:bCs/>
          <w:sz w:val="28"/>
          <w:szCs w:val="28"/>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Програма ЄС «Креативна Європа» 2021-2027</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«Креативна Європа» – рамкова програма ЄС, спрямована на підтримку культурного, креативного та аудіовізуального секторів. Програма спрямована на фінансування проєктів та ініціатив, які націлені на зміцнення культурного різноманіття, а також відповідають потребам та викликам сектору культурних та креативних індустрій (ККІ).</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грант</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до 2027 року</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відповідно до програмних умов конкурсу</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10">
        <w:r>
          <w:rPr>
            <w:rStyle w:val="Hyperlink"/>
            <w:rFonts w:eastAsia="Calibri" w:ascii="Times New Roman" w:hAnsi="Times New Roman"/>
            <w:sz w:val="28"/>
            <w:szCs w:val="28"/>
            <w:lang w:eastAsia="en-US"/>
          </w:rPr>
          <w:t>https://business.diia.gov.ua/finance/program/programa_es_kreativna_evropa_2021_2027</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TableParagraph"/>
        <w:spacing w:lineRule="auto" w:line="269" w:before="13" w:after="0"/>
        <w:ind w:firstLine="708" w:start="0" w:end="488"/>
        <w:rPr>
          <w:w w:val="105"/>
          <w:sz w:val="28"/>
          <w:szCs w:val="28"/>
        </w:rPr>
      </w:pPr>
      <w:r>
        <w:rPr>
          <w:b/>
          <w:spacing w:val="-2"/>
          <w:w w:val="105"/>
          <w:sz w:val="28"/>
          <w:szCs w:val="28"/>
        </w:rPr>
        <w:t>Триває прийом заявок на програму спільної розробки європейських аудіовізуальних проєктів</w:t>
        <w:br/>
        <w:tab/>
      </w:r>
      <w:r>
        <w:rPr>
          <w:w w:val="105"/>
          <w:sz w:val="28"/>
          <w:szCs w:val="28"/>
        </w:rPr>
        <w:t xml:space="preserve">Європейський Союз у межах програми Creative Europe запрошує до участі в програмі спільної розробки європейських аудіовізуальних проєктів. Ініціатива має на меті підтримати співпрацю між європейськими продюсерськими компаніями на етапі розробки проєктів, що мають потенціал для міжнародного розповсюдження. Ідея програми полягає у зміцненні партнерств між компаніями з різних країн Європи, посиленні культурної різноманітності та конкурентоспроможності європейських продакшенів на міжнародному ринку. </w:t>
      </w:r>
    </w:p>
    <w:p>
      <w:pPr>
        <w:pStyle w:val="TableParagraph"/>
        <w:spacing w:lineRule="auto" w:line="269" w:before="13" w:after="0"/>
        <w:ind w:firstLine="708" w:start="0" w:end="488"/>
        <w:rPr>
          <w:w w:val="105"/>
          <w:sz w:val="28"/>
          <w:szCs w:val="28"/>
        </w:rPr>
      </w:pPr>
      <w:r>
        <w:rPr>
          <w:w w:val="105"/>
          <w:sz w:val="28"/>
          <w:szCs w:val="28"/>
        </w:rPr>
        <w:t xml:space="preserve">Фінансування надається для спільної розробки одного аудіовізуального проєкту, призначеного для: - кінотеатрального показу; - телевізійного мовлення; - комерційного розповсюдження на цифрових або мультиплатформних сервісах. </w:t>
      </w:r>
    </w:p>
    <w:p>
      <w:pPr>
        <w:pStyle w:val="TableParagraph"/>
        <w:spacing w:lineRule="auto" w:line="269" w:before="13" w:after="0"/>
        <w:ind w:firstLine="708" w:start="0" w:end="488"/>
        <w:rPr>
          <w:w w:val="105"/>
          <w:sz w:val="28"/>
          <w:szCs w:val="28"/>
        </w:rPr>
      </w:pPr>
      <w:r>
        <w:rPr>
          <w:w w:val="105"/>
          <w:sz w:val="28"/>
          <w:szCs w:val="28"/>
        </w:rPr>
        <w:t>Підтримуються три категорії проєктів: анімація, документальні та ігрові фільми</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25.02.2026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участь у програмі можуть взяти юридичні особи з-поміж продюсерських компаній, зареєстровані в країнах-учасницях Creative Europe, включно з Україною. Учасники повинні мати підтверджений досвід виробництва аудіовізуальних творів, розповсюджених у міжнародному масштабі та підписану угоду про спільну розробку проєкту з партнером з іншої країни-учасниці програми</w:t>
      </w:r>
    </w:p>
    <w:p>
      <w:pPr>
        <w:pStyle w:val="Normal"/>
        <w:widowControl/>
        <w:spacing w:lineRule="auto" w:line="259" w:before="0" w:after="160"/>
        <w:ind w:start="0"/>
        <w:rPr>
          <w:rFonts w:ascii="Times New Roman" w:hAnsi="Times New Roman" w:eastAsia="Calibri" w:cs="Times New Roman"/>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11">
        <w:r>
          <w:rPr>
            <w:rStyle w:val="Hyperlink"/>
            <w:rFonts w:eastAsia="Calibri" w:ascii="Times New Roman" w:hAnsi="Times New Roman"/>
            <w:sz w:val="28"/>
            <w:szCs w:val="28"/>
            <w:lang w:eastAsia="en-US"/>
          </w:rPr>
          <w:t>https://business.diia.gov.ua/news/pryiom-zaiavok-na-prohramu-spilnoi-rozrobky-audiovizualnykh-proiektiv</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TableParagraph"/>
        <w:spacing w:lineRule="auto" w:line="269" w:before="13" w:after="0"/>
        <w:ind w:firstLine="708" w:start="0" w:end="488"/>
        <w:rPr>
          <w:b/>
          <w:spacing w:val="-2"/>
          <w:w w:val="105"/>
          <w:sz w:val="28"/>
          <w:szCs w:val="28"/>
        </w:rPr>
      </w:pPr>
      <w:r>
        <w:rPr>
          <w:b/>
          <w:spacing w:val="-2"/>
          <w:w w:val="105"/>
          <w:sz w:val="28"/>
          <w:szCs w:val="28"/>
        </w:rPr>
        <w:t>Грантовий конкурс на підтримку інноваційних проєктів з медіаграмотності</w:t>
      </w:r>
    </w:p>
    <w:p>
      <w:pPr>
        <w:pStyle w:val="TableParagraph"/>
        <w:spacing w:lineRule="auto" w:line="269" w:before="13" w:after="0"/>
        <w:ind w:firstLine="708" w:start="0" w:end="488"/>
        <w:rPr>
          <w:w w:val="105"/>
          <w:sz w:val="28"/>
          <w:szCs w:val="28"/>
        </w:rPr>
      </w:pPr>
      <w:r>
        <w:rPr>
          <w:w w:val="105"/>
          <w:sz w:val="28"/>
          <w:szCs w:val="28"/>
        </w:rPr>
        <w:t xml:space="preserve">ЄС у межах програми Creative Europe оголошує грантовий конкурс, який має на меті підтримати інноваційні транскордонні проєкти та практики у сфері медіаграмотності, які допоможуть відповідати на виклики цифрового медіасередовища. </w:t>
      </w:r>
    </w:p>
    <w:p>
      <w:pPr>
        <w:pStyle w:val="TableParagraph"/>
        <w:spacing w:lineRule="auto" w:line="269" w:before="13" w:after="0"/>
        <w:ind w:firstLine="708" w:start="0" w:end="488"/>
        <w:rPr>
          <w:w w:val="105"/>
          <w:sz w:val="28"/>
          <w:szCs w:val="28"/>
        </w:rPr>
      </w:pPr>
      <w:r>
        <w:rPr>
          <w:w w:val="105"/>
          <w:sz w:val="28"/>
          <w:szCs w:val="28"/>
        </w:rPr>
        <w:t>Розмір грантового фінансування у межах програми – 500 000 євро.</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грант</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11.03.2026</w:t>
      </w:r>
    </w:p>
    <w:p>
      <w:pPr>
        <w:pStyle w:val="Normal"/>
        <w:widowControl/>
        <w:spacing w:lineRule="auto" w:line="259" w:before="0" w:after="160"/>
        <w:ind w:start="0"/>
        <w:rPr>
          <w:rFonts w:ascii="Times New Roman" w:hAnsi="Times New Roman" w:cs="Times New Roman"/>
          <w:color w:themeColor="text1" w:val="000000"/>
          <w:spacing w:val="-4"/>
          <w:sz w:val="28"/>
          <w:szCs w:val="28"/>
          <w:lang w:eastAsia="en-US"/>
        </w:rPr>
      </w:pPr>
      <w:r>
        <w:rPr>
          <w:rFonts w:cs="Times New Roman" w:ascii="Times New Roman" w:hAnsi="Times New Roman"/>
          <w:b/>
          <w:color w:themeColor="text1" w:val="000000"/>
          <w:sz w:val="28"/>
          <w:szCs w:val="28"/>
          <w:lang w:eastAsia="en-US"/>
        </w:rPr>
        <w:t>Сфера/</w:t>
      </w:r>
      <w:r>
        <w:rPr>
          <w:rFonts w:cs="Times New Roman" w:ascii="Times New Roman" w:hAnsi="Times New Roman"/>
          <w:b/>
          <w:color w:themeColor="text1" w:val="000000"/>
          <w:spacing w:val="9"/>
          <w:sz w:val="28"/>
          <w:szCs w:val="28"/>
          <w:lang w:eastAsia="en-US"/>
        </w:rPr>
        <w:t xml:space="preserve"> </w:t>
      </w:r>
      <w:r>
        <w:rPr>
          <w:rFonts w:cs="Times New Roman" w:ascii="Times New Roman" w:hAnsi="Times New Roman"/>
          <w:b/>
          <w:color w:themeColor="text1" w:val="000000"/>
          <w:sz w:val="28"/>
          <w:szCs w:val="28"/>
          <w:lang w:eastAsia="en-US"/>
        </w:rPr>
        <w:t>галузь/</w:t>
      </w:r>
      <w:r>
        <w:rPr>
          <w:rFonts w:cs="Times New Roman" w:ascii="Times New Roman" w:hAnsi="Times New Roman"/>
          <w:b/>
          <w:color w:themeColor="text1" w:val="000000"/>
          <w:spacing w:val="10"/>
          <w:sz w:val="28"/>
          <w:szCs w:val="28"/>
          <w:lang w:eastAsia="en-US"/>
        </w:rPr>
        <w:t xml:space="preserve"> </w:t>
      </w:r>
      <w:r>
        <w:rPr>
          <w:rFonts w:cs="Times New Roman" w:ascii="Times New Roman" w:hAnsi="Times New Roman"/>
          <w:b/>
          <w:color w:themeColor="text1" w:val="000000"/>
          <w:sz w:val="28"/>
          <w:szCs w:val="28"/>
          <w:lang w:eastAsia="en-US"/>
        </w:rPr>
        <w:t>цільова</w:t>
      </w:r>
      <w:r>
        <w:rPr>
          <w:rFonts w:cs="Times New Roman" w:ascii="Times New Roman" w:hAnsi="Times New Roman"/>
          <w:b/>
          <w:color w:themeColor="text1" w:val="000000"/>
          <w:spacing w:val="8"/>
          <w:sz w:val="28"/>
          <w:szCs w:val="28"/>
          <w:lang w:eastAsia="en-US"/>
        </w:rPr>
        <w:t xml:space="preserve"> </w:t>
      </w:r>
      <w:r>
        <w:rPr>
          <w:rFonts w:cs="Times New Roman" w:ascii="Times New Roman" w:hAnsi="Times New Roman"/>
          <w:b/>
          <w:color w:themeColor="text1" w:val="000000"/>
          <w:spacing w:val="-4"/>
          <w:sz w:val="28"/>
          <w:szCs w:val="28"/>
          <w:lang w:eastAsia="en-US"/>
        </w:rPr>
        <w:t xml:space="preserve">група: </w:t>
      </w:r>
      <w:r>
        <w:rPr>
          <w:rFonts w:cs="Times New Roman" w:ascii="Times New Roman" w:hAnsi="Times New Roman"/>
          <w:color w:themeColor="text1" w:val="000000"/>
          <w:spacing w:val="-4"/>
          <w:sz w:val="28"/>
          <w:szCs w:val="28"/>
          <w:lang w:eastAsia="en-US"/>
        </w:rPr>
        <w:t>участь у програмі можуть взяти навчальні заклади, міжнародні організації, некомерційні та неурядові організації, приватні установи та компанії, державні органи, дослідницькі установи, університети, а також малі та середні підприємства, зареєстровані в країнах- учасницях програми. Участь можлива лише за наявності обов’язкового партнерства</w:t>
      </w:r>
    </w:p>
    <w:p>
      <w:pPr>
        <w:pStyle w:val="Normal"/>
        <w:widowControl/>
        <w:spacing w:lineRule="auto" w:line="259" w:before="0" w:after="160"/>
        <w:ind w:start="0"/>
        <w:rPr>
          <w:rFonts w:ascii="Times New Roman" w:hAnsi="Times New Roman" w:eastAsia="Calibri" w:cs="Times New Roman"/>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12">
        <w:r>
          <w:rPr>
            <w:rStyle w:val="Hyperlink"/>
            <w:rFonts w:eastAsia="Calibri" w:ascii="Times New Roman" w:hAnsi="Times New Roman"/>
            <w:sz w:val="28"/>
            <w:szCs w:val="28"/>
            <w:lang w:eastAsia="en-US"/>
          </w:rPr>
          <w:t>https://business.diia.gov.ua/news/hrantovyi-konkurs-na-pidtrymku-proiektiv-z-mediahramotnosti</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Програма "Talents for Ukraine" від Київської школи економіки (Kyiv School of Economics)</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Бюджет програми складає 1 млн доларів. Пропонується кожному переможцю 5 тис. доларів на підтримку, а також Програма залишає за собою право визначити розмір підтримки індивідуально. Програма "Talents for Ukraine" для підтримки нового покоління лідерів, які вміють мислити поза рамками, є талановитими і нестандартними, діють яскраво і нетривіально.</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грант</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до закінчення бюджету програми</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люди, які вже зараз впливають або скоро зможуть вплинути на розвиток України чи світу, які прагнуть змінити світ навколо, дієте талановито і нестандартно</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13">
        <w:r>
          <w:rPr>
            <w:rStyle w:val="Hyperlink"/>
            <w:rFonts w:eastAsia="Calibri" w:ascii="Times New Roman" w:hAnsi="Times New Roman"/>
            <w:sz w:val="28"/>
            <w:szCs w:val="28"/>
            <w:lang w:eastAsia="en-US"/>
          </w:rPr>
          <w:t>https://150.foundation.kse.ua/</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Програма підтримки митців у секторі візуального мистецтва Artists at risk connection від Українського культурного фонду в співпраці з PEN America</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 xml:space="preserve">Грантова підтримка українських образотворчих митців, які залишилися в Україні, а також тих, хто виїхав через війну. Програма пропонує два напрямки допомоги: </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 xml:space="preserve">1) Надзвичайний фонд надає короткострокову допомогу митцям та їхнім родинам у надзвичайних ситуаціях </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2) Фонд стійкості надає середньо- та довгострокову допомогу митцям у кар’єрних потребах і можливостях.</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грант</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митці із широким спектром спеціальностей, включаючи художників, скульпторів усіх видів, фотографів, карикатуристів, графічних дизайнерів, художників 2D/3D, мультимедійних художників, дизайнерів текстилю, архітекторів, дизайнерів інтер’єру та міського простору, ремесел та народних майстрів, керамісти/гончарі, дизайнери ювелірних виробів</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усі області України, а також інші країни перебування українських митців</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14">
        <w:r>
          <w:rPr>
            <w:rStyle w:val="Hyperlink"/>
            <w:rFonts w:eastAsia="Calibri" w:ascii="Times New Roman" w:hAnsi="Times New Roman"/>
            <w:sz w:val="28"/>
            <w:szCs w:val="28"/>
            <w:lang w:eastAsia="en-US"/>
          </w:rPr>
          <w:t>https://artistsatriskconnection.org/story/emergency-and-resilience-funds-for-ukrainian-visual-artists</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Програма міжнародної мобільності від House of Europe («Дім Європи») – програма, що фінансується Європейським Союзом</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Грант до 4 000 євро на поїздку, що сприятиме професійному зростанню працівників культури та креативного сектору, соціального підприємництва, медіа, освіти та роботи з молоддю: • відвідати конференцію, • зустрітися з європейськими колегами, • взяти участь у стажуванні • презентувати проєкт. Поїздка має відбутися у період з 15 грудня 2023 року до 15 червня 2024 року та можу тривати від 5 до 28 днів.</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грант</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працівники та представники (в т.ч. підприємці та організації) культури та креативного сектору, соціального підприємництв а, медіа, освіти та роботи з молоддю</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15">
        <w:r>
          <w:rPr>
            <w:rStyle w:val="Hyperlink"/>
            <w:rFonts w:eastAsia="Calibri" w:ascii="Times New Roman" w:hAnsi="Times New Roman"/>
            <w:sz w:val="28"/>
            <w:szCs w:val="28"/>
            <w:lang w:eastAsia="en-US"/>
          </w:rPr>
          <w:t>https://houseofeurope.org.ua/</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668" w:start="0"/>
        <w:rPr>
          <w:rFonts w:ascii="Times New Roman" w:hAnsi="Times New Roman" w:cs="Times New Roman"/>
          <w:b/>
          <w:bCs/>
          <w:sz w:val="28"/>
          <w:szCs w:val="28"/>
        </w:rPr>
      </w:pPr>
      <w:r>
        <w:rPr>
          <w:rFonts w:cs="Times New Roman" w:ascii="Times New Roman" w:hAnsi="Times New Roman"/>
          <w:b/>
          <w:bCs/>
          <w:sz w:val="28"/>
          <w:szCs w:val="28"/>
        </w:rPr>
        <w:t>Стартувала програма надання грантів на навчання для молодих підприємців</w:t>
      </w:r>
    </w:p>
    <w:p>
      <w:pPr>
        <w:pStyle w:val="Normal"/>
        <w:widowControl/>
        <w:spacing w:lineRule="auto" w:line="259" w:before="0" w:after="160"/>
        <w:ind w:firstLine="668" w:start="40"/>
        <w:rPr>
          <w:rFonts w:ascii="Times New Roman" w:hAnsi="Times New Roman" w:cs="Times New Roman"/>
          <w:sz w:val="28"/>
          <w:szCs w:val="28"/>
        </w:rPr>
      </w:pPr>
      <w:r>
        <w:rPr>
          <w:rFonts w:cs="Times New Roman" w:ascii="Times New Roman" w:hAnsi="Times New Roman"/>
          <w:sz w:val="28"/>
          <w:szCs w:val="28"/>
        </w:rPr>
        <w:t>За фінансування гуманітарної організації CORE і підтримки Міністерства економіки України та акціонерного товариства «Державний Ощадний Банк України» розпочато набір на програму надання грантів у розмірі до 30 000 гривень на навчання для молодих підприємців. Ініціатива спрямована на підтримку професійного розвитку молоді, яка веде власну справу під час воєнного стану.</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eastAsia="Calibri" w:cs="Times New Roman" w:ascii="Times New Roman" w:hAnsi="Times New Roman"/>
          <w:bCs/>
          <w:spacing w:val="-2"/>
          <w:sz w:val="28"/>
          <w:szCs w:val="28"/>
          <w:lang w:eastAsia="en-US"/>
        </w:rPr>
        <w:t>грант на навчання</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згідно з умовами Програми</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 xml:space="preserve">Посилання: </w:t>
      </w:r>
    </w:p>
    <w:p>
      <w:pPr>
        <w:pStyle w:val="Normal"/>
        <w:widowControl/>
        <w:spacing w:lineRule="auto" w:line="259" w:before="0" w:after="160"/>
        <w:rPr>
          <w:rFonts w:ascii="Times New Roman" w:hAnsi="Times New Roman" w:eastAsia="Calibri" w:cs="Times New Roman"/>
          <w:color w:val="0563C1"/>
          <w:sz w:val="28"/>
          <w:szCs w:val="28"/>
          <w:u w:val="single"/>
          <w:lang w:eastAsia="en-US"/>
        </w:rPr>
      </w:pPr>
      <w:hyperlink r:id="rId16">
        <w:r>
          <w:rPr>
            <w:rStyle w:val="Hyperlink"/>
            <w:rFonts w:eastAsia="Calibri" w:ascii="Times New Roman" w:hAnsi="Times New Roman"/>
            <w:sz w:val="28"/>
            <w:szCs w:val="28"/>
            <w:lang w:eastAsia="en-US"/>
          </w:rPr>
          <w:t>https://me.gov.ua/News/Detail/aac62102-4b8c-4eb5-b70c-655512ff19e8?lang=uk-UA&amp;title=RozpochinatsiaNabirMolodikhPidprimtsivNaNavchanniavlasnaSprava-ProstirDliaRozvitku</w:t>
        </w:r>
      </w:hyperlink>
    </w:p>
    <w:p>
      <w:pPr>
        <w:pStyle w:val="Normal"/>
        <w:widowControl/>
        <w:spacing w:lineRule="auto" w:line="259" w:before="0" w:after="160"/>
        <w:ind w:start="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TableParagraph"/>
        <w:spacing w:lineRule="auto" w:line="269" w:before="13" w:after="0"/>
        <w:ind w:firstLine="708" w:start="0" w:end="488"/>
        <w:rPr>
          <w:w w:val="105"/>
          <w:sz w:val="28"/>
          <w:szCs w:val="28"/>
        </w:rPr>
      </w:pPr>
      <w:r>
        <w:rPr>
          <w:b/>
          <w:spacing w:val="-2"/>
          <w:w w:val="105"/>
          <w:sz w:val="28"/>
          <w:szCs w:val="28"/>
        </w:rPr>
        <w:t>Освітньо-грантова програма для малого бізнесу від БФ «Право на захист»</w:t>
        <w:br/>
        <w:tab/>
      </w:r>
      <w:r>
        <w:rPr>
          <w:w w:val="105"/>
          <w:sz w:val="28"/>
          <w:szCs w:val="28"/>
        </w:rPr>
        <w:t xml:space="preserve">Мета програми є підвищення економічної стійкості людей, постраждалих від війни, шляхом підтримки розвитку підприємництва. Програма надає учасникам знання та практичні інструменти для створення та ефективного ведення власного бізнесу, формування бізнес-моделей, управління фінансами та залучення фінансування для розвитку справи. </w:t>
      </w:r>
    </w:p>
    <w:p>
      <w:pPr>
        <w:pStyle w:val="TableParagraph"/>
        <w:spacing w:lineRule="auto" w:line="269" w:before="13" w:after="0"/>
        <w:ind w:firstLine="708" w:start="0" w:end="488"/>
        <w:rPr>
          <w:w w:val="105"/>
          <w:sz w:val="28"/>
          <w:szCs w:val="28"/>
        </w:rPr>
      </w:pPr>
      <w:r>
        <w:rPr>
          <w:w w:val="105"/>
          <w:sz w:val="28"/>
          <w:szCs w:val="28"/>
        </w:rPr>
        <w:t xml:space="preserve">В межах програми передбачається проходження бізнес-спринту з розробки та тестування бізнес-моделі, участь у навчальних та менторських активностях, розробка власного бізнес-плану, участь у Demo Day, а також можливість отримати цільову благодійну допомогу (грант) на розвиток власного бізнесу після завершення курсу. </w:t>
      </w:r>
    </w:p>
    <w:p>
      <w:pPr>
        <w:pStyle w:val="TableParagraph"/>
        <w:spacing w:lineRule="auto" w:line="269" w:before="13" w:after="0"/>
        <w:ind w:firstLine="708" w:start="0" w:end="488"/>
        <w:rPr>
          <w:w w:val="105"/>
          <w:sz w:val="28"/>
          <w:szCs w:val="28"/>
        </w:rPr>
      </w:pPr>
      <w:r>
        <w:rPr>
          <w:w w:val="105"/>
          <w:sz w:val="28"/>
          <w:szCs w:val="28"/>
        </w:rPr>
        <w:t>Сума гранту до 2 500 EUR.</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освітньо-грантова програма</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до 16.01.2026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участь у програмі можуть взяти люди, які проживають у відповідних громадах Київської області; займаються малим бізнесом або призупинили підприємницьку діяльність і закрили ФОП через війну; внутрішньо переміщені особи; ветерани та члени їхніх сімей; люди з інвалідністю; багатодітні батьки; жінки, які самостійно виховують дітей; особи віком 50–65 років</w:t>
      </w:r>
    </w:p>
    <w:p>
      <w:pPr>
        <w:pStyle w:val="Normal"/>
        <w:widowControl/>
        <w:spacing w:lineRule="auto" w:line="259" w:before="0" w:after="160"/>
        <w:ind w:start="0"/>
        <w:rPr>
          <w:rFonts w:ascii="Times New Roman" w:hAnsi="Times New Roman" w:eastAsia="Calibri" w:cs="Times New Roman"/>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Макарівська, Бучанська та Ірпінська громади Київської області</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17">
        <w:r>
          <w:rPr>
            <w:rStyle w:val="Hyperlink"/>
            <w:rFonts w:eastAsia="Calibri" w:ascii="Times New Roman" w:hAnsi="Times New Roman"/>
            <w:sz w:val="28"/>
            <w:szCs w:val="28"/>
            <w:lang w:eastAsia="en-US"/>
          </w:rPr>
          <w:t>https://surl.li/twvxjx</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TableParagraph"/>
        <w:spacing w:lineRule="auto" w:line="269" w:before="13" w:after="0"/>
        <w:ind w:firstLine="708" w:start="0" w:end="488"/>
        <w:rPr>
          <w:w w:val="105"/>
          <w:sz w:val="28"/>
          <w:szCs w:val="28"/>
        </w:rPr>
      </w:pPr>
      <w:r>
        <w:rPr>
          <w:b/>
          <w:spacing w:val="-2"/>
          <w:w w:val="105"/>
          <w:sz w:val="28"/>
          <w:szCs w:val="28"/>
        </w:rPr>
        <w:t>Грант на наукові дослідження кліматичних ризиків</w:t>
        <w:br/>
        <w:tab/>
      </w:r>
      <w:r>
        <w:rPr>
          <w:w w:val="105"/>
          <w:sz w:val="28"/>
          <w:szCs w:val="28"/>
        </w:rPr>
        <w:t xml:space="preserve">Програма «Горизонт Європа» сприяє розвитку наукових знань і вдосконаленню методів оцінки кліматичних ризиків для підтримки майбутніх Оцінок кліматичних ризиків ЄС (EUCRA). </w:t>
      </w:r>
    </w:p>
    <w:p>
      <w:pPr>
        <w:pStyle w:val="TableParagraph"/>
        <w:spacing w:lineRule="auto" w:line="269" w:before="13" w:after="0"/>
        <w:ind w:firstLine="708" w:start="0" w:end="488"/>
        <w:rPr>
          <w:w w:val="105"/>
          <w:sz w:val="28"/>
          <w:szCs w:val="28"/>
        </w:rPr>
      </w:pPr>
      <w:r>
        <w:rPr>
          <w:w w:val="105"/>
          <w:sz w:val="28"/>
          <w:szCs w:val="28"/>
        </w:rPr>
        <w:t>Для участі у конкурсі потрібно сформувати консорціум із трьох незалежних юридичних осіб із різних країн, забезпечити залучення кінцевих користувачів (місцевих та регіональних органів влади, організацій громадянського суспільства), використовувати сучасні наукові дані та міжнародні рамки, а також, за потреби, дані супутникового спостереження Copernicus або Galileo/EGNOS. Пропозиція має містити чіткий опис цілей, методів, очікуваних результатів та план координації з іншими релевантними проєктами.</w:t>
      </w:r>
    </w:p>
    <w:p>
      <w:pPr>
        <w:pStyle w:val="TableParagraph"/>
        <w:spacing w:lineRule="auto" w:line="269" w:before="13" w:after="0"/>
        <w:ind w:firstLine="708" w:start="0" w:end="488"/>
        <w:rPr>
          <w:w w:val="105"/>
          <w:sz w:val="28"/>
          <w:szCs w:val="28"/>
        </w:rPr>
      </w:pPr>
      <w:r>
        <w:rPr>
          <w:w w:val="105"/>
          <w:sz w:val="28"/>
          <w:szCs w:val="28"/>
        </w:rPr>
        <w:t>Учасники мають реалізувати дослідження та дії, спрямовані на покращення кількісної оцінки кліматичних ризиків і їхніх основних рушійних факторів; інтеграцію даних із різних джерел, включно з цифровими інструментами та штучним інтелектом; підвищення готовності та стійкості громад і секторів; розробку методологій та інструментів для субєвропейського, національного та регіонального аналізу; а також сприяння майбутнім виданням EUCRA.</w:t>
      </w:r>
    </w:p>
    <w:p>
      <w:pPr>
        <w:pStyle w:val="TableParagraph"/>
        <w:spacing w:lineRule="auto" w:line="269" w:before="13" w:after="0"/>
        <w:ind w:firstLine="708" w:start="0" w:end="488"/>
        <w:rPr>
          <w:b/>
          <w:spacing w:val="-2"/>
          <w:w w:val="105"/>
          <w:sz w:val="28"/>
          <w:szCs w:val="28"/>
        </w:rPr>
      </w:pPr>
      <w:r>
        <w:rPr>
          <w:w w:val="105"/>
          <w:sz w:val="28"/>
          <w:szCs w:val="28"/>
        </w:rPr>
        <w:t>Сума фінансової допомоги 15 000 000 EUR.</w:t>
      </w:r>
    </w:p>
    <w:p>
      <w:pPr>
        <w:pStyle w:val="TableParagraph"/>
        <w:spacing w:lineRule="auto" w:line="269" w:before="13" w:after="0"/>
        <w:ind w:firstLine="708" w:start="0" w:end="488"/>
        <w:rPr>
          <w:w w:val="105"/>
          <w:sz w:val="28"/>
          <w:szCs w:val="28"/>
        </w:rPr>
      </w:pPr>
      <w:r>
        <w:rPr>
          <w:w w:val="105"/>
          <w:sz w:val="28"/>
          <w:szCs w:val="28"/>
        </w:rPr>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eastAsia="Calibri" w:cs="Times New Roman" w:ascii="Times New Roman" w:hAnsi="Times New Roman"/>
          <w:b/>
          <w:spacing w:val="-4"/>
          <w:w w:val="105"/>
          <w:sz w:val="28"/>
          <w:szCs w:val="28"/>
          <w:lang w:val="ru-RU" w:eastAsia="en-US"/>
        </w:rPr>
        <w:t>Вид</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sz w:val="28"/>
          <w:szCs w:val="28"/>
          <w:lang w:val="ru-RU" w:eastAsia="en-US"/>
        </w:rPr>
        <w:t>підтримки</w:t>
      </w:r>
      <w:r>
        <w:rPr>
          <w:rFonts w:eastAsia="Calibri" w:cs="Times New Roman" w:ascii="Times New Roman" w:hAnsi="Times New Roman"/>
          <w:b/>
          <w:spacing w:val="-2"/>
          <w:sz w:val="28"/>
          <w:szCs w:val="28"/>
          <w:lang w:eastAsia="en-US"/>
        </w:rPr>
        <w:t xml:space="preserve">: </w:t>
      </w:r>
      <w:r>
        <w:rPr>
          <w:rFonts w:eastAsia="Calibri" w:cs="Times New Roman" w:ascii="Times New Roman" w:hAnsi="Times New Roman"/>
          <w:bCs/>
          <w:spacing w:val="-2"/>
          <w:sz w:val="28"/>
          <w:szCs w:val="28"/>
          <w:lang w:eastAsia="en-US"/>
        </w:rPr>
        <w:t>фінансова допомога</w:t>
      </w:r>
    </w:p>
    <w:p>
      <w:pPr>
        <w:pStyle w:val="Normal"/>
        <w:widowControl/>
        <w:spacing w:lineRule="auto" w:line="259" w:before="0" w:after="160"/>
        <w:ind w:start="0"/>
        <w:rPr>
          <w:rFonts w:ascii="Times New Roman" w:hAnsi="Times New Roman" w:eastAsia="Calibri" w:cs="Times New Roman"/>
          <w:bCs/>
          <w:spacing w:val="-2"/>
          <w:sz w:val="28"/>
          <w:szCs w:val="28"/>
          <w:lang w:eastAsia="en-US"/>
        </w:rPr>
      </w:pPr>
      <w:r>
        <w:rPr>
          <w:rFonts w:cs="Times New Roman" w:ascii="Times New Roman" w:hAnsi="Times New Roman"/>
          <w:b/>
          <w:sz w:val="28"/>
          <w:szCs w:val="28"/>
          <w:lang w:eastAsia="en-US"/>
        </w:rPr>
        <w:t xml:space="preserve">Період актуальності/ дедлайн: </w:t>
      </w:r>
      <w:r>
        <w:rPr>
          <w:rFonts w:cs="Times New Roman" w:ascii="Times New Roman" w:hAnsi="Times New Roman"/>
          <w:bCs/>
          <w:sz w:val="28"/>
          <w:szCs w:val="28"/>
          <w:lang w:eastAsia="en-US"/>
        </w:rPr>
        <w:t>15.04.2026</w:t>
      </w:r>
    </w:p>
    <w:p>
      <w:pPr>
        <w:pStyle w:val="Normal"/>
        <w:widowControl/>
        <w:spacing w:lineRule="auto" w:line="259" w:before="0" w:after="160"/>
        <w:ind w:start="0"/>
        <w:rPr>
          <w:rFonts w:ascii="Times New Roman" w:hAnsi="Times New Roman" w:cs="Times New Roman"/>
          <w:spacing w:val="-4"/>
          <w:sz w:val="28"/>
          <w:szCs w:val="28"/>
          <w:lang w:eastAsia="en-US"/>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 xml:space="preserve">група: </w:t>
      </w:r>
      <w:r>
        <w:rPr>
          <w:rFonts w:cs="Times New Roman" w:ascii="Times New Roman" w:hAnsi="Times New Roman"/>
          <w:spacing w:val="-4"/>
          <w:sz w:val="28"/>
          <w:szCs w:val="28"/>
          <w:lang w:eastAsia="en-US"/>
        </w:rPr>
        <w:t>юридичні особи різного типу: органи ЄС, державні органи, навчальні заклади, дослідницькі установи, міжнародні та неурядові організації, приватні компанії та малі і середні підприємства. Консорціум повинен складатися щонайменше з трьох незалежних юридичних осіб із різних держав-членів або асоційованих країн, включно з принаймні однією організацією з держави-члена ЄС</w:t>
      </w:r>
    </w:p>
    <w:p>
      <w:pPr>
        <w:pStyle w:val="Normal"/>
        <w:widowControl/>
        <w:spacing w:lineRule="auto" w:line="259" w:before="0" w:after="160"/>
        <w:ind w:start="0"/>
        <w:rPr>
          <w:rFonts w:ascii="Times New Roman" w:hAnsi="Times New Roman" w:eastAsia="Calibri" w:cs="Times New Roman"/>
          <w:w w:val="105"/>
          <w:sz w:val="28"/>
          <w:szCs w:val="28"/>
          <w:lang w:eastAsia="en-US"/>
        </w:rPr>
      </w:pPr>
      <w:r>
        <w:rPr>
          <w:rFonts w:eastAsia="Calibri" w:cs="Times New Roman" w:ascii="Times New Roman" w:hAnsi="Times New Roman"/>
          <w:b/>
          <w:spacing w:val="-2"/>
          <w:w w:val="105"/>
          <w:sz w:val="28"/>
          <w:szCs w:val="28"/>
          <w:lang w:val="ru-RU" w:eastAsia="en-US"/>
        </w:rPr>
        <w:t>Географія</w:t>
      </w:r>
      <w:r>
        <w:rPr>
          <w:rFonts w:eastAsia="Calibri" w:cs="Times New Roman" w:ascii="Times New Roman" w:hAnsi="Times New Roman"/>
          <w:b/>
          <w:spacing w:val="-7"/>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(крім</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w w:val="105"/>
          <w:sz w:val="28"/>
          <w:szCs w:val="28"/>
          <w:lang w:val="ru-RU" w:eastAsia="en-US"/>
        </w:rPr>
        <w:t>окупованих</w:t>
      </w:r>
      <w:r>
        <w:rPr>
          <w:rFonts w:eastAsia="Calibri" w:cs="Times New Roman" w:ascii="Times New Roman" w:hAnsi="Times New Roman"/>
          <w:b/>
          <w:spacing w:val="-8"/>
          <w:w w:val="105"/>
          <w:sz w:val="28"/>
          <w:szCs w:val="28"/>
          <w:lang w:val="ru-RU" w:eastAsia="en-US"/>
        </w:rPr>
        <w:t xml:space="preserve"> </w:t>
      </w:r>
      <w:r>
        <w:rPr>
          <w:rFonts w:eastAsia="Calibri" w:cs="Times New Roman" w:ascii="Times New Roman" w:hAnsi="Times New Roman"/>
          <w:b/>
          <w:w w:val="105"/>
          <w:sz w:val="28"/>
          <w:szCs w:val="28"/>
          <w:lang w:val="ru-RU" w:eastAsia="en-US"/>
        </w:rPr>
        <w:t>та</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фронтових</w:t>
      </w:r>
      <w:r>
        <w:rPr>
          <w:rFonts w:eastAsia="Calibri" w:cs="Times New Roman" w:ascii="Times New Roman" w:hAnsi="Times New Roman"/>
          <w:b/>
          <w:spacing w:val="40"/>
          <w:w w:val="105"/>
          <w:sz w:val="28"/>
          <w:szCs w:val="28"/>
          <w:lang w:val="ru-RU" w:eastAsia="en-US"/>
        </w:rPr>
        <w:t xml:space="preserve"> </w:t>
      </w:r>
      <w:r>
        <w:rPr>
          <w:rFonts w:eastAsia="Calibri" w:cs="Times New Roman" w:ascii="Times New Roman" w:hAnsi="Times New Roman"/>
          <w:b/>
          <w:spacing w:val="-2"/>
          <w:w w:val="105"/>
          <w:sz w:val="28"/>
          <w:szCs w:val="28"/>
          <w:lang w:val="ru-RU" w:eastAsia="en-US"/>
        </w:rPr>
        <w:t>територій)</w:t>
      </w:r>
      <w:r>
        <w:rPr>
          <w:rFonts w:eastAsia="Calibri" w:cs="Times New Roman" w:ascii="Times New Roman" w:hAnsi="Times New Roman"/>
          <w:b/>
          <w:spacing w:val="-2"/>
          <w:w w:val="105"/>
          <w:sz w:val="28"/>
          <w:szCs w:val="28"/>
          <w:lang w:eastAsia="en-US"/>
        </w:rPr>
        <w:t xml:space="preserve">: </w:t>
      </w:r>
      <w:r>
        <w:rPr>
          <w:rFonts w:eastAsia="Calibri" w:cs="Times New Roman" w:ascii="Times New Roman" w:hAnsi="Times New Roman"/>
          <w:w w:val="105"/>
          <w:sz w:val="28"/>
          <w:szCs w:val="28"/>
          <w:lang w:eastAsia="en-US"/>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sz w:val="28"/>
          <w:szCs w:val="28"/>
          <w:lang w:eastAsia="en-US"/>
        </w:rPr>
      </w:pPr>
      <w:hyperlink r:id="rId18">
        <w:r>
          <w:rPr>
            <w:rStyle w:val="Hyperlink"/>
            <w:rFonts w:eastAsia="Calibri" w:ascii="Times New Roman" w:hAnsi="Times New Roman"/>
            <w:sz w:val="28"/>
            <w:szCs w:val="28"/>
            <w:lang w:eastAsia="en-US"/>
          </w:rPr>
          <w:t>https://business.diia.gov.ua/finance/grant-na-naukovi-doslidzhennya-klimatichnih-rizikiv</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 xml:space="preserve">Грант для інновацій у чистій енергетиці </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 xml:space="preserve">Програма «Горизонт Європа» спрямована на впровадження інноваційних технологічних рішень у енергетиці, транспорті та промисловості, що сприяють конкурентоспроможній декарбонізації та масштабуванню чистих технологій. Для участі у конкурсі потрібно підготувати детальний бізнес-план та стратегію готовності до виходу на ринок, техніко-економічну оцінку, плани інженерних рішень та всі необхідні дозволи для демонстраційної фази. Консорціум має бути керованим, з чітким визначенням ролі промислових партнерів. Заохочується співпраця з існуючими європейськими ініціативами, включно з Copernicus, Galileo/EGNOS, Спільним підприємством «Чистий водень» та іншими партнерствами у сфері чистих технологій. </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 xml:space="preserve">Учасники мають реалізувати інноваційні технологічні рішення у межах одного або кількох напрямів чистих технологій: інтегровані енергетичні системи з нульовим рівнем викидів, удосконалені технології виробництва електроенергії з нульовим рівнем викидів, а також технології зберігання, відновлювані види палива та уловлювання вуглецю. Пропозиції повинні демонструвати інтеграцію технологій, потенціал комерційного використання та вплив на конкурентоспроможність і скорочення викидів парникових газів, а також враховувати циркулярність, ефективність ресурсів і вплив на біорізноманіття. </w:t>
      </w:r>
    </w:p>
    <w:p>
      <w:pPr>
        <w:pStyle w:val="Normal"/>
        <w:widowControl/>
        <w:spacing w:lineRule="auto" w:line="259" w:before="0" w:after="160"/>
        <w:ind w:firstLine="708" w:start="0"/>
        <w:rPr>
          <w:rFonts w:ascii="Times New Roman" w:hAnsi="Times New Roman" w:cs="Times New Roman"/>
          <w:sz w:val="28"/>
          <w:szCs w:val="28"/>
        </w:rPr>
      </w:pPr>
      <w:r>
        <w:rPr>
          <w:rFonts w:cs="Times New Roman" w:ascii="Times New Roman" w:hAnsi="Times New Roman"/>
          <w:sz w:val="28"/>
          <w:szCs w:val="28"/>
        </w:rPr>
        <w:t>Сума фінансової допомоги до 25 000 000 EUR.</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фінансова допомога</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до 15.09.2026</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юридичні особи та організації з країн- кандидатів, держав-членів ЄС, Східного партнерства, заморських країн та територій (OCT), включаючи Фарерські острови, Ісландію, Ізраїль, Косово, Ліхтенштейн, Марокко, Норвегію, Швейцарію, Туніс та Велику Британію. Допустимі учасники: державні та приватні установи, МСП, університети, науково-дослідні організації, міжнародні та неурядові організації. Участь передбачає формування консорціуму з мінімум трьох незалежних юридичних осіб з різних країн (принаймні одна з держав- членів ЄС)</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19">
        <w:r>
          <w:rPr>
            <w:rStyle w:val="Hyperlink"/>
            <w:rFonts w:eastAsia="Calibri" w:ascii="Times New Roman" w:hAnsi="Times New Roman"/>
            <w:sz w:val="28"/>
            <w:szCs w:val="28"/>
            <w:lang w:eastAsia="en-US"/>
          </w:rPr>
          <w:t>https://business.diia.gov.ua/finance/grant-dlya-innovaciy-u-chistiy-energetici</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 xml:space="preserve">Грантова програма для мікро- та малих бізнесів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Програма міжнародної організація з міграції (МОМ) спрямована на підтримку економіки України шляхом відновлення робочих місць та виробництва, а також задоволення попиту населення на критично важливі товари та послуги.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Пріоритет надаватиметься постраждалим від війни, пошкодженим, зруйнованим та переміщеним підприємствам; підприємствам, які очолюють ветерани, жінки, молодь; підприємствам, діяльність яких сприяє підтримці вразливих верств населення; підприємствам у сільській місцевості. Загальні критерії для підприєсмтв: - зареєстровані не менше ніж за 1 рік до дати подання заявки; - зареєстровані в Україні та належать громадянам України; - готовність створити нові робочі місця. Мікропідприємства працевлаштовують менше 10 осіб. Підприємства, які створять не менше 1 нового робочого місця завдяки гранту. Малі підприємства: працевлаштовують 10 і більше людей. Підприємства, які створять не менше 3 нових робочих місць завдяки гранту.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Суми гранту:</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мікропідприємства - максимальна сума гранту становить до 7 000 євро в гривневому еквіваленті за курсом ООН.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 малі підприємства - максимальна сума гранту становить до 20 000 євро в гривневому еквіваленті за курсом ООН.</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грант</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до 31 січня 2026 року</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мікропідприємства, малі підприємства</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географічно розташовані у наступних областях: м. Київ та Київська область м. Чернігів та Чернігівська область м. Суми та Сумська область</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20">
        <w:r>
          <w:rPr>
            <w:rStyle w:val="Hyperlink"/>
            <w:rFonts w:eastAsia="Calibri" w:ascii="Times New Roman" w:hAnsi="Times New Roman"/>
            <w:sz w:val="28"/>
            <w:szCs w:val="28"/>
            <w:lang w:eastAsia="en-US"/>
          </w:rPr>
          <w:t>https://ukraine.iom.int/uk/news/podacha-zayavok-na-hrantovu-prohramu-dlya-mikro-ta-malykh-biznesiv</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Фінансова допомога для малих і середніх</w:t>
      </w:r>
      <w:r>
        <w:rPr>
          <w:rFonts w:cs="Times New Roman" w:ascii="Times New Roman" w:hAnsi="Times New Roman"/>
          <w:b/>
          <w:bCs/>
          <w:sz w:val="28"/>
          <w:szCs w:val="28"/>
          <w:lang w:val="en-US"/>
        </w:rPr>
        <w:t xml:space="preserve"> </w:t>
      </w:r>
      <w:r>
        <w:rPr>
          <w:rFonts w:cs="Times New Roman" w:ascii="Times New Roman" w:hAnsi="Times New Roman"/>
          <w:b/>
          <w:bCs/>
          <w:sz w:val="28"/>
          <w:szCs w:val="28"/>
        </w:rPr>
        <w:t xml:space="preserve">підприємств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Міжнародна гуманітарна організація Mercy Corps у межах програми BLOOM надасть фінансову допомогу для підтримки малих і середніх підприємств, які мають на меті створити нові робочі місця, розширюючи при цьому свою діяльність з акцентом на соціальному впливі та інклюзивності. Середній розмір фінансової допомоги складає від 17 000 до 30 000 доларів США, що надається бізнесу на придбання виробничих основних засобів.</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фінансова допомога</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до 31.03.2026</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взяти участь у Програмі згідно з умовами можуть представники малого та середнього підприємництва у з-поміж місцевого або релокованого бізнесу, які: - мають офіційну реєстрацію бізнесу; - готові створити або зберегти робочі місця для ВПО або місцевого населення; - співінвестувати власні кошти в реалізацію поданої бізнес-ідеї до 50% від суми гранту</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Чернігівська, Дніпропетровськ а, Харківська, Херсонська, Миколаївська, Одеська, Сумськіа та Запорізька області</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br/>
      </w:r>
      <w:hyperlink r:id="rId21">
        <w:r>
          <w:rPr>
            <w:rStyle w:val="Hyperlink"/>
            <w:rFonts w:eastAsia="Calibri" w:ascii="Times New Roman" w:hAnsi="Times New Roman"/>
            <w:sz w:val="28"/>
            <w:szCs w:val="28"/>
            <w:lang w:eastAsia="en-US"/>
          </w:rPr>
          <w:t>https://bloom.mercycorps.org/page/gJmqxeVR</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 xml:space="preserve">Конкурс грантів для інноваційних digital і deep- tech стартапів, очолюваних жінками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Європейський Союз у межах програми Horizon Europe оголошує про старт конкурсу Open Horizons для жінок-засновниць технологічних стартапів. Ініціатива спрямована на підтримку інноваційних стартапів, очолюваних жінками, які працюють у сферах цифрових і глибинних технологій. Мета – допомогти їм вирішити актуальні бізнес-запити європейських корпорацій, отримати фінансування, провести пілотування продукту та масштабувати діяльність.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Відібрані стартапи матимуть можливість отримати: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 xml:space="preserve">- до 55 000 євро безповоротного фінансування (Inception + Pilot Phase);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 індивідуальний менторинг та навчання від галузевих і інноваційних експертів;</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 xml:space="preserve">- можливість спільно розробляти та тестувати платні пілотні проєкти з провідними європейськими корпораціями;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 підвищення впізнаваності та підтримку для виходу на ринок і масштабування;</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 доступ до європейської мережі, яка підтримує розвиток жінок у deep tech.</w:t>
      </w:r>
    </w:p>
    <w:p>
      <w:pPr>
        <w:pStyle w:val="Normal"/>
        <w:widowControl/>
        <w:spacing w:lineRule="auto" w:line="259" w:before="0" w:after="160"/>
        <w:ind w:start="0"/>
        <w:rPr>
          <w:rFonts w:ascii="Times New Roman" w:hAnsi="Times New Roman" w:eastAsia="Calibri" w:cs="Times New Roman"/>
          <w:b/>
          <w:spacing w:val="-2"/>
          <w:sz w:val="28"/>
          <w:szCs w:val="28"/>
          <w:lang w:eastAsia="en-US"/>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грант</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до 29.01.2026</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участь можуть брати стартапи, які: - зареєстровані в державі – члені ЄС або асоційованій країні Horizon Europe; - працюють у сфері deep tech або цифрових інновацій; - мають щонайменше одну жінку на керівній посаді (CEO, CTO або засновниця) з часткою володіння не менше 25%; - перебувають на етапі становлення або раннього зростання; - пропонують рішення для одного з 17 викликів, визначених корпоративними партнерами.</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22">
        <w:r>
          <w:rPr>
            <w:rStyle w:val="Hyperlink"/>
            <w:rFonts w:eastAsia="Calibri" w:ascii="Times New Roman" w:hAnsi="Times New Roman"/>
            <w:sz w:val="28"/>
            <w:szCs w:val="28"/>
            <w:lang w:eastAsia="en-US"/>
          </w:rPr>
          <w:t>https://www.openhorizonsproject.eu/</w:t>
        </w:r>
      </w:hyperlink>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jc w:val="start"/>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firstLine="708" w:start="0"/>
        <w:rPr>
          <w:rFonts w:ascii="Times New Roman" w:hAnsi="Times New Roman" w:cs="Times New Roman"/>
          <w:b/>
          <w:bCs/>
          <w:sz w:val="28"/>
          <w:szCs w:val="28"/>
        </w:rPr>
      </w:pPr>
      <w:r>
        <w:rPr>
          <w:rFonts w:cs="Times New Roman" w:ascii="Times New Roman" w:hAnsi="Times New Roman"/>
          <w:b/>
          <w:bCs/>
          <w:sz w:val="28"/>
          <w:szCs w:val="28"/>
        </w:rPr>
        <w:t xml:space="preserve">Конкурс тревел-грантів для підприємиць та представниць жіночих організацій </w:t>
      </w:r>
    </w:p>
    <w:p>
      <w:pPr>
        <w:pStyle w:val="Normal"/>
        <w:widowControl/>
        <w:spacing w:lineRule="auto" w:line="259" w:before="0" w:after="160"/>
        <w:ind w:start="0"/>
        <w:rPr>
          <w:rFonts w:ascii="Times New Roman" w:hAnsi="Times New Roman" w:cs="Times New Roman"/>
          <w:sz w:val="28"/>
          <w:szCs w:val="28"/>
        </w:rPr>
      </w:pPr>
      <w:r>
        <w:rPr>
          <w:rFonts w:cs="Times New Roman" w:ascii="Times New Roman" w:hAnsi="Times New Roman"/>
          <w:sz w:val="28"/>
          <w:szCs w:val="28"/>
        </w:rPr>
        <w:tab/>
        <w:t xml:space="preserve">Фонд «Жіночі можливості в Україні» оголосив про приймання заявок на отримання тревел-грантів від підприємиць та представниць жіночих громадських організацій. Ініціатива має на меті сприяти економічній незалежності жінок шляхом покриття туристичних витрат, пов'язаних з участю у професійних та навчальних заходах в Україні та за кордоном. </w:t>
        <w:br/>
        <w:tab/>
        <w:t>Грантове фінансування передбачає покриття таких витрат: Транспортні: квитки економкласу на літак та потяг Проживання: термін не має перевищувати 7 діб Реєстраційний збір для участі в заході Оформлення страховки на час поїздки.</w:t>
        <w:br/>
        <w:tab/>
        <w:t xml:space="preserve">У межах гранту не буде відшкодовуватись покриття дорожніх витрат на паливо. </w:t>
        <w:br/>
        <w:tab/>
        <w:t>Максимальна сума гранту затверджується фондом індивідуально після розгляду запиту на грант. Термін ухвалення рішення – до 14 календарних днів.</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4"/>
          <w:w w:val="105"/>
          <w:sz w:val="28"/>
          <w:szCs w:val="28"/>
          <w:lang w:eastAsia="en-US"/>
        </w:rPr>
        <w:t>Вид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 xml:space="preserve">підтримки: </w:t>
      </w:r>
      <w:r>
        <w:rPr>
          <w:rFonts w:cs="Times New Roman" w:ascii="Times New Roman" w:hAnsi="Times New Roman"/>
          <w:sz w:val="28"/>
          <w:szCs w:val="28"/>
        </w:rPr>
        <w:t>покриття витрат</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Період</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sz w:val="28"/>
          <w:szCs w:val="28"/>
          <w:lang w:eastAsia="en-US"/>
        </w:rPr>
        <w:t>актуальності/</w:t>
      </w:r>
      <w:r>
        <w:rPr>
          <w:rFonts w:eastAsia="Calibri" w:cs="Times New Roman" w:ascii="Times New Roman" w:hAnsi="Times New Roman"/>
          <w:b/>
          <w:spacing w:val="-2"/>
          <w:w w:val="105"/>
          <w:sz w:val="28"/>
          <w:szCs w:val="28"/>
          <w:lang w:eastAsia="en-US"/>
        </w:rPr>
        <w:t>дедлайн:</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не зазначено</w:t>
      </w:r>
    </w:p>
    <w:p>
      <w:pPr>
        <w:pStyle w:val="Normal"/>
        <w:widowControl/>
        <w:spacing w:lineRule="auto" w:line="259" w:before="0" w:after="160"/>
        <w:ind w:start="0"/>
        <w:jc w:val="start"/>
        <w:rPr>
          <w:rFonts w:ascii="Times New Roman" w:hAnsi="Times New Roman" w:cs="Times New Roman"/>
          <w:sz w:val="28"/>
          <w:szCs w:val="28"/>
        </w:rPr>
      </w:pPr>
      <w:r>
        <w:rPr>
          <w:rFonts w:cs="Times New Roman" w:ascii="Times New Roman" w:hAnsi="Times New Roman"/>
          <w:b/>
          <w:sz w:val="28"/>
          <w:szCs w:val="28"/>
          <w:lang w:eastAsia="en-US"/>
        </w:rPr>
        <w:t>Сфера/</w:t>
      </w:r>
      <w:r>
        <w:rPr>
          <w:rFonts w:cs="Times New Roman" w:ascii="Times New Roman" w:hAnsi="Times New Roman"/>
          <w:b/>
          <w:spacing w:val="9"/>
          <w:sz w:val="28"/>
          <w:szCs w:val="28"/>
          <w:lang w:eastAsia="en-US"/>
        </w:rPr>
        <w:t xml:space="preserve"> </w:t>
      </w:r>
      <w:r>
        <w:rPr>
          <w:rFonts w:cs="Times New Roman" w:ascii="Times New Roman" w:hAnsi="Times New Roman"/>
          <w:b/>
          <w:sz w:val="28"/>
          <w:szCs w:val="28"/>
          <w:lang w:eastAsia="en-US"/>
        </w:rPr>
        <w:t>галузь/</w:t>
      </w:r>
      <w:r>
        <w:rPr>
          <w:rFonts w:cs="Times New Roman" w:ascii="Times New Roman" w:hAnsi="Times New Roman"/>
          <w:b/>
          <w:spacing w:val="10"/>
          <w:sz w:val="28"/>
          <w:szCs w:val="28"/>
          <w:lang w:eastAsia="en-US"/>
        </w:rPr>
        <w:t xml:space="preserve"> </w:t>
      </w:r>
      <w:r>
        <w:rPr>
          <w:rFonts w:cs="Times New Roman" w:ascii="Times New Roman" w:hAnsi="Times New Roman"/>
          <w:b/>
          <w:sz w:val="28"/>
          <w:szCs w:val="28"/>
          <w:lang w:eastAsia="en-US"/>
        </w:rPr>
        <w:t>цільова</w:t>
      </w:r>
      <w:r>
        <w:rPr>
          <w:rFonts w:cs="Times New Roman" w:ascii="Times New Roman" w:hAnsi="Times New Roman"/>
          <w:b/>
          <w:spacing w:val="8"/>
          <w:sz w:val="28"/>
          <w:szCs w:val="28"/>
          <w:lang w:eastAsia="en-US"/>
        </w:rPr>
        <w:t xml:space="preserve"> </w:t>
      </w:r>
      <w:r>
        <w:rPr>
          <w:rFonts w:cs="Times New Roman" w:ascii="Times New Roman" w:hAnsi="Times New Roman"/>
          <w:b/>
          <w:spacing w:val="-4"/>
          <w:sz w:val="28"/>
          <w:szCs w:val="28"/>
          <w:lang w:eastAsia="en-US"/>
        </w:rPr>
        <w:t>група:</w:t>
      </w:r>
      <w:r>
        <w:rPr>
          <w:rFonts w:cs="Times New Roman" w:ascii="Times New Roman" w:hAnsi="Times New Roman"/>
          <w:spacing w:val="-2"/>
          <w:w w:val="105"/>
          <w:sz w:val="28"/>
          <w:szCs w:val="28"/>
          <w:lang w:eastAsia="en-US"/>
        </w:rPr>
        <w:t xml:space="preserve"> </w:t>
      </w:r>
      <w:r>
        <w:rPr>
          <w:rFonts w:cs="Times New Roman" w:ascii="Times New Roman" w:hAnsi="Times New Roman"/>
          <w:sz w:val="28"/>
          <w:szCs w:val="28"/>
        </w:rPr>
        <w:t xml:space="preserve">подавати заявки на участь у грантовій програмі можуть: </w:t>
        <w:br/>
        <w:t xml:space="preserve">- представниці офіційно зареєстрованих жіночих громадських організацій з усіх регіонів України, </w:t>
        <w:br/>
        <w:t>- фізичні особи з офіційно зареєстрованим ФОП</w:t>
      </w:r>
    </w:p>
    <w:p>
      <w:pPr>
        <w:pStyle w:val="Normal"/>
        <w:widowControl/>
        <w:spacing w:lineRule="auto" w:line="259" w:before="0" w:after="160"/>
        <w:ind w:start="0"/>
        <w:rPr>
          <w:rFonts w:ascii="Times New Roman" w:hAnsi="Times New Roman" w:cs="Times New Roman"/>
          <w:sz w:val="28"/>
          <w:szCs w:val="28"/>
        </w:rPr>
      </w:pPr>
      <w:r>
        <w:rPr>
          <w:rFonts w:eastAsia="Calibri" w:cs="Times New Roman" w:ascii="Times New Roman" w:hAnsi="Times New Roman"/>
          <w:b/>
          <w:spacing w:val="-2"/>
          <w:w w:val="105"/>
          <w:sz w:val="28"/>
          <w:szCs w:val="28"/>
          <w:lang w:eastAsia="en-US"/>
        </w:rPr>
        <w:t>Географія</w:t>
      </w:r>
      <w:r>
        <w:rPr>
          <w:rFonts w:eastAsia="Calibri" w:cs="Times New Roman" w:ascii="Times New Roman" w:hAnsi="Times New Roman"/>
          <w:b/>
          <w:spacing w:val="-7"/>
          <w:w w:val="105"/>
          <w:sz w:val="28"/>
          <w:szCs w:val="28"/>
          <w:lang w:eastAsia="en-US"/>
        </w:rPr>
        <w:t xml:space="preserve"> </w:t>
      </w:r>
      <w:r>
        <w:rPr>
          <w:rFonts w:eastAsia="Calibri" w:cs="Times New Roman" w:ascii="Times New Roman" w:hAnsi="Times New Roman"/>
          <w:b/>
          <w:spacing w:val="-2"/>
          <w:w w:val="105"/>
          <w:sz w:val="28"/>
          <w:szCs w:val="28"/>
          <w:lang w:eastAsia="en-US"/>
        </w:rPr>
        <w:t>(крім</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w w:val="105"/>
          <w:sz w:val="28"/>
          <w:szCs w:val="28"/>
          <w:lang w:eastAsia="en-US"/>
        </w:rPr>
        <w:t>окупованих</w:t>
      </w:r>
      <w:r>
        <w:rPr>
          <w:rFonts w:eastAsia="Calibri" w:cs="Times New Roman" w:ascii="Times New Roman" w:hAnsi="Times New Roman"/>
          <w:b/>
          <w:spacing w:val="-8"/>
          <w:w w:val="105"/>
          <w:sz w:val="28"/>
          <w:szCs w:val="28"/>
          <w:lang w:eastAsia="en-US"/>
        </w:rPr>
        <w:t xml:space="preserve"> </w:t>
      </w:r>
      <w:r>
        <w:rPr>
          <w:rFonts w:eastAsia="Calibri" w:cs="Times New Roman" w:ascii="Times New Roman" w:hAnsi="Times New Roman"/>
          <w:b/>
          <w:w w:val="105"/>
          <w:sz w:val="28"/>
          <w:szCs w:val="28"/>
          <w:lang w:eastAsia="en-US"/>
        </w:rPr>
        <w:t>та</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фронтових</w:t>
      </w:r>
      <w:r>
        <w:rPr>
          <w:rFonts w:eastAsia="Calibri" w:cs="Times New Roman" w:ascii="Times New Roman" w:hAnsi="Times New Roman"/>
          <w:b/>
          <w:spacing w:val="40"/>
          <w:w w:val="105"/>
          <w:sz w:val="28"/>
          <w:szCs w:val="28"/>
          <w:lang w:eastAsia="en-US"/>
        </w:rPr>
        <w:t xml:space="preserve"> </w:t>
      </w:r>
      <w:r>
        <w:rPr>
          <w:rFonts w:eastAsia="Calibri" w:cs="Times New Roman" w:ascii="Times New Roman" w:hAnsi="Times New Roman"/>
          <w:b/>
          <w:spacing w:val="-2"/>
          <w:w w:val="105"/>
          <w:sz w:val="28"/>
          <w:szCs w:val="28"/>
          <w:lang w:eastAsia="en-US"/>
        </w:rPr>
        <w:t>територій):</w:t>
      </w:r>
      <w:r>
        <w:rPr>
          <w:rFonts w:eastAsia="Calibri" w:cs="Times New Roman" w:ascii="Times New Roman" w:hAnsi="Times New Roman"/>
          <w:w w:val="105"/>
          <w:sz w:val="28"/>
          <w:szCs w:val="28"/>
          <w:lang w:eastAsia="en-US"/>
        </w:rPr>
        <w:t xml:space="preserve"> </w:t>
      </w:r>
      <w:r>
        <w:rPr>
          <w:rFonts w:cs="Times New Roman" w:ascii="Times New Roman" w:hAnsi="Times New Roman"/>
          <w:sz w:val="28"/>
          <w:szCs w:val="28"/>
        </w:rPr>
        <w:t>вся Україна</w:t>
      </w:r>
    </w:p>
    <w:p>
      <w:pPr>
        <w:pStyle w:val="Normal"/>
        <w:widowControl/>
        <w:spacing w:lineRule="auto" w:line="259" w:before="0" w:after="160"/>
        <w:ind w:start="0"/>
        <w:rPr>
          <w:rFonts w:ascii="Times New Roman" w:hAnsi="Times New Roman" w:cs="Times New Roman"/>
          <w:b/>
          <w:bCs/>
          <w:sz w:val="28"/>
          <w:szCs w:val="28"/>
        </w:rPr>
      </w:pPr>
      <w:r>
        <w:rPr>
          <w:rFonts w:cs="Times New Roman" w:ascii="Times New Roman" w:hAnsi="Times New Roman"/>
          <w:b/>
          <w:bCs/>
          <w:sz w:val="28"/>
          <w:szCs w:val="28"/>
        </w:rPr>
        <w:t>Посилання:</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hyperlink r:id="rId23">
        <w:r>
          <w:rPr>
            <w:rStyle w:val="Hyperlink"/>
            <w:rFonts w:eastAsia="Calibri" w:ascii="Times New Roman" w:hAnsi="Times New Roman"/>
            <w:sz w:val="28"/>
            <w:szCs w:val="28"/>
            <w:lang w:eastAsia="en-US"/>
          </w:rPr>
          <w:t>https://wo-ua.org/projects/2498/</w:t>
        </w:r>
      </w:hyperlink>
      <w:r>
        <w:rPr>
          <w:rStyle w:val="Hyperlink"/>
          <w:rFonts w:eastAsia="Calibri" w:ascii="Times New Roman" w:hAnsi="Times New Roman"/>
          <w:sz w:val="28"/>
          <w:szCs w:val="28"/>
          <w:u w:val="none"/>
          <w:lang w:val="en-US" w:eastAsia="en-US"/>
        </w:rPr>
        <w:t xml:space="preserve"> </w:t>
      </w:r>
      <w:r>
        <w:rPr>
          <w:rStyle w:val="Hyperlink"/>
          <w:rFonts w:eastAsia="Calibri" w:ascii="Times New Roman" w:hAnsi="Times New Roman"/>
          <w:color w:val="auto"/>
          <w:sz w:val="28"/>
          <w:szCs w:val="28"/>
          <w:u w:val="none"/>
          <w:lang w:eastAsia="en-US"/>
        </w:rPr>
        <w:t>».</w:t>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p>
      <w:pPr>
        <w:pStyle w:val="Normal"/>
        <w:widowControl/>
        <w:spacing w:lineRule="auto" w:line="259" w:before="0" w:after="160"/>
        <w:ind w:start="0"/>
        <w:rPr>
          <w:rFonts w:ascii="Times New Roman" w:hAnsi="Times New Roman" w:eastAsia="Calibri" w:cs="Times New Roman"/>
          <w:color w:val="0563C1"/>
          <w:sz w:val="28"/>
          <w:szCs w:val="28"/>
          <w:u w:val="single"/>
          <w:lang w:eastAsia="en-US"/>
        </w:rPr>
      </w:pPr>
      <w:r>
        <w:rPr>
          <w:rFonts w:eastAsia="Calibri" w:cs="Times New Roman" w:ascii="Times New Roman" w:hAnsi="Times New Roman"/>
          <w:color w:val="0563C1"/>
          <w:sz w:val="28"/>
          <w:szCs w:val="28"/>
          <w:u w:val="single"/>
          <w:lang w:eastAsia="en-US"/>
        </w:rPr>
      </w:r>
    </w:p>
    <w:sectPr>
      <w:type w:val="nextPage"/>
      <w:pgSz w:w="11906" w:h="16838"/>
      <w:pgMar w:left="1701"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Arial">
    <w:charset w:val="cc" w:characterSet="windows-1251"/>
    <w:family w:val="swiss"/>
    <w:pitch w:val="variable"/>
  </w:font>
  <w:font w:name="Tahoma">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s>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ed5"/>
    <w:pPr>
      <w:widowControl w:val="false"/>
      <w:bidi w:val="0"/>
      <w:spacing w:before="140" w:after="0"/>
      <w:ind w:start="40"/>
      <w:jc w:val="both"/>
    </w:pPr>
    <w:rPr>
      <w:rFonts w:ascii="Arial" w:hAnsi="Arial" w:eastAsia="Times New Roman" w:cs="Arial"/>
      <w:color w:val="auto"/>
      <w:kern w:val="0"/>
      <w:sz w:val="16"/>
      <w:szCs w:val="16"/>
      <w:lang w:val="uk-UA" w:eastAsia="ru-RU" w:bidi="ar-SA"/>
    </w:rPr>
  </w:style>
  <w:style w:type="paragraph" w:styleId="Heading1">
    <w:name w:val="heading 1"/>
    <w:basedOn w:val="Normal"/>
    <w:link w:val="1"/>
    <w:uiPriority w:val="9"/>
    <w:qFormat/>
    <w:rsid w:val="000a1338"/>
    <w:pPr>
      <w:spacing w:before="0" w:after="0"/>
      <w:ind w:start="109"/>
      <w:jc w:val="start"/>
      <w:outlineLvl w:val="0"/>
    </w:pPr>
    <w:rPr>
      <w:rFonts w:ascii="Tahoma" w:hAnsi="Tahoma" w:eastAsia="Tahoma" w:cs="Tahoma"/>
      <w:b/>
      <w:bCs/>
      <w:sz w:val="24"/>
      <w:szCs w:val="24"/>
      <w:lang w:eastAsia="en-US"/>
    </w:rPr>
  </w:style>
  <w:style w:type="character" w:styleId="DefaultParagraphFont" w:default="1">
    <w:name w:val="Default Paragraph Font"/>
    <w:uiPriority w:val="1"/>
    <w:semiHidden/>
    <w:unhideWhenUsed/>
    <w:qFormat/>
    <w:rPr/>
  </w:style>
  <w:style w:type="character" w:styleId="Hyperlink">
    <w:name w:val="Hyperlink"/>
    <w:uiPriority w:val="99"/>
    <w:rsid w:val="003e0ed5"/>
    <w:rPr>
      <w:rFonts w:cs="Times New Roman"/>
      <w:color w:val="0000FF"/>
      <w:u w:val="single"/>
    </w:rPr>
  </w:style>
  <w:style w:type="character" w:styleId="Style13" w:customStyle="1">
    <w:name w:val="Основной текст Знак"/>
    <w:uiPriority w:val="99"/>
    <w:qFormat/>
    <w:rsid w:val="003e0ed5"/>
    <w:rPr>
      <w:rFonts w:ascii="Arial" w:hAnsi="Arial" w:eastAsia="Times New Roman" w:cs="Arial"/>
      <w:sz w:val="16"/>
      <w:szCs w:val="16"/>
      <w:lang w:eastAsia="ru-RU"/>
    </w:rPr>
  </w:style>
  <w:style w:type="character" w:styleId="2" w:customStyle="1">
    <w:name w:val="Основной текст с отступом 2 Знак"/>
    <w:link w:val="BodyTextIndent2"/>
    <w:qFormat/>
    <w:rsid w:val="003e0ed5"/>
    <w:rPr>
      <w:rFonts w:ascii="Times New Roman" w:hAnsi="Times New Roman" w:eastAsia="Times New Roman" w:cs="Times New Roman"/>
      <w:sz w:val="26"/>
      <w:szCs w:val="24"/>
      <w:lang w:eastAsia="ru-RU"/>
    </w:rPr>
  </w:style>
  <w:style w:type="character" w:styleId="Strong">
    <w:name w:val="Strong"/>
    <w:uiPriority w:val="22"/>
    <w:qFormat/>
    <w:rsid w:val="0049594a"/>
    <w:rPr>
      <w:b/>
      <w:bCs/>
    </w:rPr>
  </w:style>
  <w:style w:type="character" w:styleId="UnresolvedMention">
    <w:name w:val="Unresolved Mention"/>
    <w:uiPriority w:val="99"/>
    <w:semiHidden/>
    <w:unhideWhenUsed/>
    <w:qFormat/>
    <w:rsid w:val="00d21bbd"/>
    <w:rPr>
      <w:color w:val="605E5C"/>
      <w:shd w:fill="E1DFDD" w:val="clear"/>
    </w:rPr>
  </w:style>
  <w:style w:type="character" w:styleId="1" w:customStyle="1">
    <w:name w:val="Заголовок 1 Знак"/>
    <w:uiPriority w:val="9"/>
    <w:qFormat/>
    <w:rsid w:val="000a1338"/>
    <w:rPr>
      <w:rFonts w:ascii="Tahoma" w:hAnsi="Tahoma" w:eastAsia="Tahoma" w:cs="Tahoma"/>
      <w:b/>
      <w:bCs/>
      <w:sz w:val="24"/>
      <w:szCs w:val="24"/>
      <w:lang w:val="uk-UA" w:eastAsia="en-US"/>
    </w:rPr>
  </w:style>
  <w:style w:type="character" w:styleId="FollowedHyperlink">
    <w:name w:val="FollowedHyperlink"/>
    <w:uiPriority w:val="99"/>
    <w:semiHidden/>
    <w:unhideWhenUsed/>
    <w:rsid w:val="00a371bc"/>
    <w:rPr>
      <w:color w:val="954F72"/>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3"/>
    <w:unhideWhenUsed/>
    <w:rsid w:val="003e0ed5"/>
    <w:pPr>
      <w:spacing w:before="14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BodyTextIndent2">
    <w:name w:val="Body Text Indent 2"/>
    <w:basedOn w:val="Normal"/>
    <w:link w:val="2"/>
    <w:qFormat/>
    <w:rsid w:val="003e0ed5"/>
    <w:pPr>
      <w:widowControl/>
      <w:spacing w:lineRule="auto" w:line="480" w:before="0" w:after="120"/>
      <w:ind w:start="283"/>
    </w:pPr>
    <w:rPr>
      <w:rFonts w:ascii="Times New Roman" w:hAnsi="Times New Roman" w:cs="Times New Roman"/>
      <w:sz w:val="26"/>
      <w:szCs w:val="24"/>
    </w:rPr>
  </w:style>
  <w:style w:type="paragraph" w:styleId="ListParagraph">
    <w:name w:val="List Paragraph"/>
    <w:basedOn w:val="Normal"/>
    <w:uiPriority w:val="1"/>
    <w:qFormat/>
    <w:rsid w:val="007766e9"/>
    <w:pPr>
      <w:spacing w:before="33" w:after="0"/>
      <w:ind w:hanging="359" w:start="2966"/>
      <w:jc w:val="start"/>
    </w:pPr>
    <w:rPr>
      <w:rFonts w:ascii="Times New Roman" w:hAnsi="Times New Roman" w:cs="Times New Roman"/>
      <w:sz w:val="22"/>
      <w:szCs w:val="22"/>
      <w:lang w:eastAsia="en-US"/>
    </w:rPr>
  </w:style>
  <w:style w:type="paragraph" w:styleId="TableParagraph" w:customStyle="1">
    <w:name w:val="Table Paragraph"/>
    <w:basedOn w:val="Normal"/>
    <w:uiPriority w:val="1"/>
    <w:qFormat/>
    <w:rsid w:val="008503ed"/>
    <w:pPr>
      <w:spacing w:before="0" w:after="0"/>
      <w:ind w:start="50"/>
      <w:jc w:val="start"/>
    </w:pPr>
    <w:rPr>
      <w:rFonts w:ascii="Times New Roman" w:hAnsi="Times New Roman" w:cs="Times New Roman"/>
      <w:sz w:val="22"/>
      <w:szCs w:val="22"/>
      <w:lang w:eastAsia="en-US"/>
    </w:rPr>
  </w:style>
  <w:style w:type="paragraph" w:styleId="Default" w:customStyle="1">
    <w:name w:val="Default"/>
    <w:qFormat/>
    <w:rsid w:val="00646975"/>
    <w:pPr>
      <w:widowControl/>
      <w:bidi w:val="0"/>
      <w:spacing w:before="0" w:after="0"/>
      <w:jc w:val="start"/>
    </w:pPr>
    <w:rPr>
      <w:rFonts w:ascii="Times New Roman" w:hAnsi="Times New Roman" w:eastAsia="Calibri" w:cs="Times New Roman"/>
      <w:color w:val="000000"/>
      <w:kern w:val="0"/>
      <w:sz w:val="24"/>
      <w:szCs w:val="24"/>
      <w:lang w:val="ru-RU" w:eastAsia="ru-RU"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pp.lviv.ua/vaucher-na-vidnovlennia/" TargetMode="External"/><Relationship Id="rId3" Type="http://schemas.openxmlformats.org/officeDocument/2006/relationships/hyperlink" Target="https://business.diia.gov.ua/news/hrantova-prohrama-dlia-pv-system" TargetMode="External"/><Relationship Id="rId4" Type="http://schemas.openxmlformats.org/officeDocument/2006/relationships/hyperlink" Target="https://business.diia.gov.ua/news/hrantovyi_konkurs_iz_rozvytku_pidpryiemnytstva_v_ukraini" TargetMode="External"/><Relationship Id="rId5" Type="http://schemas.openxmlformats.org/officeDocument/2006/relationships/hyperlink" Target="https://surl.li/nxyour" TargetMode="External"/><Relationship Id="rId6" Type="http://schemas.openxmlformats.org/officeDocument/2006/relationships/hyperlink" Target="https://business.diia.gov.ua/news/konkurs-na-pidtrymku-proiektiv-u-sferi-heneratyvnoho-shi-dlia-msp-i-startapiv" TargetMode="External"/><Relationship Id="rId7" Type="http://schemas.openxmlformats.org/officeDocument/2006/relationships/hyperlink" Target="https://dyhai.org/gra" TargetMode="External"/><Relationship Id="rId8" Type="http://schemas.openxmlformats.org/officeDocument/2006/relationships/hyperlink" Target="https://www.merezha.ua/grants/ebrd-asb?fbclid=IwAR2mk1hKHvWAm58tzVUmizfdLr5viJTKfp0HNJrXf5HFL05nNPrkbpZoL_4" TargetMode="External"/><Relationship Id="rId9" Type="http://schemas.openxmlformats.org/officeDocument/2006/relationships/hyperlink" Target="https://itscraft.com.ua/postiyniy-konkurs-tvortsiv/" TargetMode="External"/><Relationship Id="rId10" Type="http://schemas.openxmlformats.org/officeDocument/2006/relationships/hyperlink" Target="https://business.diia.gov.ua/finance/program/programa_es_kreativna_evropa_2021_2027" TargetMode="External"/><Relationship Id="rId11" Type="http://schemas.openxmlformats.org/officeDocument/2006/relationships/hyperlink" Target="https://business.diia.gov.ua/news/pryiom-zaiavok-na-prohramu-spilnoi-rozrobky-audiovizualnykh-proiektiv" TargetMode="External"/><Relationship Id="rId12" Type="http://schemas.openxmlformats.org/officeDocument/2006/relationships/hyperlink" Target="https://business.diia.gov.ua/news/hrantovyi-konkurs-na-pidtrymku-proiektiv-z-mediahramotnosti" TargetMode="External"/><Relationship Id="rId13" Type="http://schemas.openxmlformats.org/officeDocument/2006/relationships/hyperlink" Target="https://150.foundation.kse.ua/" TargetMode="External"/><Relationship Id="rId14" Type="http://schemas.openxmlformats.org/officeDocument/2006/relationships/hyperlink" Target="https://artistsatriskconnection.org/story/emergency-and-resilience-funds-for-ukrainian-visual-artists" TargetMode="External"/><Relationship Id="rId15" Type="http://schemas.openxmlformats.org/officeDocument/2006/relationships/hyperlink" Target="https://houseofeurope.org.ua/" TargetMode="External"/><Relationship Id="rId16" Type="http://schemas.openxmlformats.org/officeDocument/2006/relationships/hyperlink" Target="https://me.gov.ua/News/Detail/aac62102-4b8c-4eb5-b70c-655512ff19e8?lang=uk-UA&amp;title=RozpochinatsiaNabirMolodikhPidprimtsivNaNavchanniavlasnaSprava-ProstirDliaRozvitku" TargetMode="External"/><Relationship Id="rId17" Type="http://schemas.openxmlformats.org/officeDocument/2006/relationships/hyperlink" Target="https://surl.li/twvxjx" TargetMode="External"/><Relationship Id="rId18" Type="http://schemas.openxmlformats.org/officeDocument/2006/relationships/hyperlink" Target="https://business.diia.gov.ua/finance/grant-na-naukovi-doslidzhennya-klimatichnih-rizikiv" TargetMode="External"/><Relationship Id="rId19" Type="http://schemas.openxmlformats.org/officeDocument/2006/relationships/hyperlink" Target="https://business.diia.gov.ua/finance/grant-dlya-innovaciy-u-chistiy-energetici" TargetMode="External"/><Relationship Id="rId20" Type="http://schemas.openxmlformats.org/officeDocument/2006/relationships/hyperlink" Target="https://ukraine.iom.int/uk/news/podacha-zayavok-na-hrantovu-prohramu-dlya-mikro-ta-malykh-biznesiv" TargetMode="External"/><Relationship Id="rId21" Type="http://schemas.openxmlformats.org/officeDocument/2006/relationships/hyperlink" Target="https://bloom.mercycorps.org/page/gJmqxeVR" TargetMode="External"/><Relationship Id="rId22" Type="http://schemas.openxmlformats.org/officeDocument/2006/relationships/hyperlink" Target="https://www.openhorizonsproject.eu/" TargetMode="External"/><Relationship Id="rId23" Type="http://schemas.openxmlformats.org/officeDocument/2006/relationships/hyperlink" Target="https://wo-ua.org/projects/2498/" TargetMode="Externa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LibreOffice/25.8.4.2$Windows_X86_64 LibreOffice_project/290daaa01b999472f0c7a3890eb6a550fd74c6df</Application>
  <AppVersion>15.0000</AppVersion>
  <Pages>16</Pages>
  <Words>3216</Words>
  <Characters>23731</Characters>
  <CharactersWithSpaces>26813</CharactersWithSpaces>
  <Paragraphs>210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2026-01-07T13:43:00Z</dcterms:created>
  <dc:creator>userPsp1003</dc:creator>
  <dc:description/>
  <dc:language>ru-RU</dc:language>
  <cp:lastModifiedBy/>
  <dcterms:modified xsi:type="dcterms:W3CDTF">2026-01-09T13:14:32Z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