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8B" w:rsidRPr="00BE2B8B" w:rsidRDefault="00BE2B8B" w:rsidP="00BE2B8B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СЄВЄРОДОНЕЦЬКА МІСЬКА РАДА</w:t>
      </w:r>
    </w:p>
    <w:p w:rsidR="00BE2B8B" w:rsidRPr="00BE2B8B" w:rsidRDefault="00BE2B8B" w:rsidP="00BE2B8B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ШОСТОГО СКЛИКАННЯ</w:t>
      </w:r>
    </w:p>
    <w:p w:rsidR="00BE2B8B" w:rsidRPr="00BE2B8B" w:rsidRDefault="00BE2B8B" w:rsidP="00BE2B8B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proofErr w:type="spellStart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п’ятдесят</w:t>
      </w:r>
      <w:proofErr w:type="spellEnd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шоста</w:t>
      </w:r>
      <w:proofErr w:type="spellEnd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(</w:t>
      </w:r>
      <w:proofErr w:type="spellStart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чергова</w:t>
      </w:r>
      <w:proofErr w:type="spellEnd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) </w:t>
      </w:r>
      <w:proofErr w:type="spellStart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сесія</w:t>
      </w:r>
      <w:proofErr w:type="spellEnd"/>
    </w:p>
    <w:p w:rsidR="00BE2B8B" w:rsidRPr="00BE2B8B" w:rsidRDefault="00BE2B8B" w:rsidP="00BE2B8B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proofErr w:type="gramStart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Р</w:t>
      </w:r>
      <w:proofErr w:type="gramEnd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ІШЕННЯ №2409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“  24  ”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січня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2013 року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</w:t>
      </w:r>
      <w:proofErr w:type="gramStart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.С</w:t>
      </w:r>
      <w:proofErr w:type="gramEnd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євєродонецьк</w:t>
      </w:r>
      <w:proofErr w:type="spellEnd"/>
    </w:p>
    <w:p w:rsidR="00BE2B8B" w:rsidRPr="00BE2B8B" w:rsidRDefault="00BE2B8B" w:rsidP="00BE2B8B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BE2B8B" w:rsidRPr="00BE2B8B" w:rsidRDefault="00BE2B8B" w:rsidP="00BE2B8B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Про  хід   виконання  рішення   сесії міської ради від 14.07.2011р.  № 669 </w:t>
      </w:r>
      <w:proofErr w:type="spellStart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“Про</w:t>
      </w:r>
      <w:proofErr w:type="spellEnd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  затвердження   Комплексної міської  програми соціального  захисту</w:t>
      </w: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 </w:t>
      </w: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 xml:space="preserve">громадян,  які  постраждали  внаслідокЧорнобильської   катастрофи  на 2011-2015 </w:t>
      </w:r>
      <w:proofErr w:type="spellStart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роки”</w:t>
      </w:r>
      <w:proofErr w:type="spellEnd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 за  2012 рік</w:t>
      </w:r>
    </w:p>
    <w:p w:rsidR="00BE2B8B" w:rsidRPr="00BE2B8B" w:rsidRDefault="00BE2B8B" w:rsidP="00BE2B8B">
      <w:pPr>
        <w:shd w:val="clear" w:color="auto" w:fill="FFFFFF"/>
        <w:spacing w:after="180" w:line="245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Керуючись п.22 ст.26  Закону України  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“Про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місцеве самоврядування в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Україні”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та  розглянувши  інформацію про  хід  виконання рішення   сесії міської  ради від   14.07.2011р.  № 669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“Про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затвердження Комплексної міської програми соціального захисту громадян, які постраждали внаслідок Чорнобильської катастрофи на 2011-2015роки” за 2012 рік,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Сєвєродонецька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міська рада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733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ВИРІШИЛА: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645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1.Інформацію про хід виконання рішення сесії міської  ради від 14.07.2011р. № 669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“Про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затвердження Комплексної міської програми соціального захисту громадян, які постраждали внаслідок Чорнобильської катастрофи на 2011-2015роки” за 2012 рік, прийняти до відома (додаток).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645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2.Рішення сесії міської ради підлягає оприлюдненню.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675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3.Контроль за виконанням цього рішення покласти на постійну комісію з питань охорони здоров’я  і соціального захисту населення.</w:t>
      </w:r>
    </w:p>
    <w:p w:rsidR="00BE2B8B" w:rsidRPr="00BE2B8B" w:rsidRDefault="00BE2B8B" w:rsidP="00BE2B8B">
      <w:pPr>
        <w:shd w:val="clear" w:color="auto" w:fill="FFFFFF"/>
        <w:spacing w:after="180" w:line="183" w:lineRule="atLeast"/>
        <w:ind w:firstLine="675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BE2B8B" w:rsidRPr="00BE2B8B" w:rsidRDefault="00BE2B8B" w:rsidP="00BE2B8B">
      <w:pPr>
        <w:shd w:val="clear" w:color="auto" w:fill="FFFFFF"/>
        <w:spacing w:after="180" w:line="183" w:lineRule="atLeast"/>
        <w:ind w:firstLine="675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BE2B8B" w:rsidRPr="00BE2B8B" w:rsidRDefault="00BE2B8B" w:rsidP="00BE2B8B">
      <w:pPr>
        <w:shd w:val="clear" w:color="auto" w:fill="FFFFFF"/>
        <w:spacing w:after="240" w:line="360" w:lineRule="atLeast"/>
        <w:outlineLvl w:val="8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Міський</w:t>
      </w:r>
      <w:proofErr w:type="spellEnd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голова                                                                  </w:t>
      </w: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В</w:t>
      </w: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.В.Казаков</w:t>
      </w: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br/>
      </w:r>
    </w:p>
    <w:p w:rsidR="00BE2B8B" w:rsidRPr="00BE2B8B" w:rsidRDefault="00BE2B8B" w:rsidP="00BE2B8B">
      <w:pPr>
        <w:shd w:val="clear" w:color="auto" w:fill="FFFFFF"/>
        <w:ind w:left="1416" w:right="540" w:hanging="855"/>
        <w:outlineLvl w:val="3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  </w:t>
      </w: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                              </w:t>
      </w:r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                                                            </w:t>
      </w: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                                 </w:t>
      </w:r>
    </w:p>
    <w:p w:rsidR="00BE2B8B" w:rsidRPr="00BE2B8B" w:rsidRDefault="00BE2B8B" w:rsidP="00BE2B8B">
      <w:pPr>
        <w:shd w:val="clear" w:color="auto" w:fill="FFFFFF"/>
        <w:spacing w:after="60"/>
        <w:jc w:val="right"/>
        <w:outlineLvl w:val="3"/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</w:t>
      </w:r>
      <w:r w:rsidRPr="00BE2B8B">
        <w:rPr>
          <w:rFonts w:ascii="Arial" w:eastAsia="Times New Roman" w:hAnsi="Arial" w:cs="Arial"/>
          <w:b/>
          <w:bCs/>
          <w:i/>
          <w:iCs/>
          <w:color w:val="4A4A4A"/>
          <w:sz w:val="18"/>
          <w:szCs w:val="18"/>
          <w:lang w:val="uk-UA" w:eastAsia="ru-RU"/>
        </w:rPr>
        <w:t>Додаток</w:t>
      </w:r>
    </w:p>
    <w:p w:rsidR="00BE2B8B" w:rsidRPr="00BE2B8B" w:rsidRDefault="00BE2B8B" w:rsidP="00BE2B8B">
      <w:pPr>
        <w:shd w:val="clear" w:color="auto" w:fill="FFFFFF"/>
        <w:spacing w:after="60"/>
        <w:jc w:val="right"/>
        <w:outlineLvl w:val="3"/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</w:pPr>
      <w:r w:rsidRPr="00BE2B8B">
        <w:rPr>
          <w:rFonts w:ascii="Arial" w:eastAsia="Times New Roman" w:hAnsi="Arial" w:cs="Arial"/>
          <w:b/>
          <w:bCs/>
          <w:i/>
          <w:iCs/>
          <w:color w:val="4A4A4A"/>
          <w:sz w:val="18"/>
          <w:szCs w:val="18"/>
          <w:lang w:eastAsia="ru-RU"/>
        </w:rPr>
        <w:t>                            </w:t>
      </w:r>
      <w:r w:rsidRPr="00BE2B8B">
        <w:rPr>
          <w:rFonts w:ascii="Arial" w:eastAsia="Times New Roman" w:hAnsi="Arial" w:cs="Arial"/>
          <w:b/>
          <w:bCs/>
          <w:i/>
          <w:iCs/>
          <w:color w:val="4A4A4A"/>
          <w:sz w:val="18"/>
          <w:szCs w:val="18"/>
          <w:lang w:val="uk-UA" w:eastAsia="ru-RU"/>
        </w:rPr>
        <w:t xml:space="preserve"> </w:t>
      </w:r>
      <w:r w:rsidRPr="00BE2B8B">
        <w:rPr>
          <w:rFonts w:ascii="Arial" w:eastAsia="Times New Roman" w:hAnsi="Arial" w:cs="Arial"/>
          <w:b/>
          <w:bCs/>
          <w:i/>
          <w:iCs/>
          <w:color w:val="4A4A4A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</w:t>
      </w:r>
      <w:r w:rsidRPr="00BE2B8B">
        <w:rPr>
          <w:rFonts w:ascii="Arial" w:eastAsia="Times New Roman" w:hAnsi="Arial" w:cs="Arial"/>
          <w:b/>
          <w:bCs/>
          <w:i/>
          <w:iCs/>
          <w:color w:val="4A4A4A"/>
          <w:sz w:val="18"/>
          <w:szCs w:val="18"/>
          <w:lang w:val="uk-UA" w:eastAsia="ru-RU"/>
        </w:rPr>
        <w:t>до рішення</w:t>
      </w:r>
      <w:r w:rsidRPr="00BE2B8B">
        <w:rPr>
          <w:rFonts w:ascii="Arial" w:eastAsia="Times New Roman" w:hAnsi="Arial" w:cs="Arial"/>
          <w:b/>
          <w:bCs/>
          <w:i/>
          <w:iCs/>
          <w:color w:val="4A4A4A"/>
          <w:sz w:val="18"/>
          <w:szCs w:val="18"/>
          <w:lang w:eastAsia="ru-RU"/>
        </w:rPr>
        <w:t> </w:t>
      </w:r>
      <w:r w:rsidRPr="00BE2B8B">
        <w:rPr>
          <w:rFonts w:ascii="Arial" w:eastAsia="Times New Roman" w:hAnsi="Arial" w:cs="Arial"/>
          <w:b/>
          <w:bCs/>
          <w:i/>
          <w:iCs/>
          <w:color w:val="4A4A4A"/>
          <w:sz w:val="18"/>
          <w:szCs w:val="18"/>
          <w:lang w:val="uk-UA" w:eastAsia="ru-RU"/>
        </w:rPr>
        <w:t xml:space="preserve"> 56</w:t>
      </w:r>
      <w:r w:rsidRPr="00BE2B8B">
        <w:rPr>
          <w:rFonts w:ascii="Arial" w:eastAsia="Times New Roman" w:hAnsi="Arial" w:cs="Arial"/>
          <w:b/>
          <w:bCs/>
          <w:i/>
          <w:iCs/>
          <w:color w:val="4A4A4A"/>
          <w:sz w:val="18"/>
          <w:szCs w:val="18"/>
          <w:lang w:eastAsia="ru-RU"/>
        </w:rPr>
        <w:t> </w:t>
      </w:r>
      <w:r w:rsidRPr="00BE2B8B">
        <w:rPr>
          <w:rFonts w:ascii="Arial" w:eastAsia="Times New Roman" w:hAnsi="Arial" w:cs="Arial"/>
          <w:b/>
          <w:bCs/>
          <w:i/>
          <w:iCs/>
          <w:color w:val="4A4A4A"/>
          <w:sz w:val="18"/>
          <w:szCs w:val="18"/>
          <w:lang w:val="uk-UA" w:eastAsia="ru-RU"/>
        </w:rPr>
        <w:t xml:space="preserve"> сесії міської ради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BE2B8B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BE2B8B">
        <w:rPr>
          <w:rFonts w:ascii="Arial" w:eastAsia="Times New Roman" w:hAnsi="Arial" w:cs="Arial"/>
          <w:i/>
          <w:iCs/>
          <w:color w:val="4A4A4A"/>
          <w:sz w:val="18"/>
          <w:szCs w:val="18"/>
          <w:lang w:val="uk-UA" w:eastAsia="ru-RU"/>
        </w:rPr>
        <w:t xml:space="preserve"> від “ 24</w:t>
      </w:r>
      <w:r w:rsidRPr="00BE2B8B">
        <w:rPr>
          <w:rFonts w:ascii="Arial" w:eastAsia="Times New Roman" w:hAnsi="Arial" w:cs="Arial"/>
          <w:i/>
          <w:iCs/>
          <w:color w:val="4A4A4A"/>
          <w:sz w:val="18"/>
          <w:szCs w:val="18"/>
          <w:lang w:eastAsia="ru-RU"/>
        </w:rPr>
        <w:t> </w:t>
      </w:r>
      <w:r w:rsidRPr="00BE2B8B">
        <w:rPr>
          <w:rFonts w:ascii="Arial" w:eastAsia="Times New Roman" w:hAnsi="Arial" w:cs="Arial"/>
          <w:i/>
          <w:iCs/>
          <w:color w:val="4A4A4A"/>
          <w:sz w:val="18"/>
          <w:szCs w:val="18"/>
          <w:lang w:val="uk-UA" w:eastAsia="ru-RU"/>
        </w:rPr>
        <w:t xml:space="preserve"> ” січня 2013р. № 2409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jc w:val="right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lastRenderedPageBreak/>
        <w:t> </w:t>
      </w:r>
    </w:p>
    <w:p w:rsidR="00BE2B8B" w:rsidRPr="00BE2B8B" w:rsidRDefault="00BE2B8B" w:rsidP="00BE2B8B">
      <w:pPr>
        <w:shd w:val="clear" w:color="auto" w:fill="FFFFFF"/>
        <w:spacing w:after="60"/>
        <w:jc w:val="right"/>
        <w:outlineLvl w:val="5"/>
        <w:rPr>
          <w:rFonts w:ascii="Arial" w:eastAsia="Times New Roman" w:hAnsi="Arial" w:cs="Arial"/>
          <w:b/>
          <w:bCs/>
          <w:color w:val="76797C"/>
          <w:sz w:val="18"/>
          <w:szCs w:val="18"/>
          <w:lang w:val="uk-UA" w:eastAsia="ru-RU"/>
        </w:rPr>
      </w:pPr>
      <w:r w:rsidRPr="00BE2B8B">
        <w:rPr>
          <w:rFonts w:ascii="Arial" w:eastAsia="Times New Roman" w:hAnsi="Arial" w:cs="Arial"/>
          <w:color w:val="76797C"/>
          <w:sz w:val="18"/>
          <w:szCs w:val="18"/>
          <w:lang w:val="uk-UA" w:eastAsia="ru-RU"/>
        </w:rPr>
        <w:t>                                       </w:t>
      </w:r>
      <w:r w:rsidRPr="00BE2B8B">
        <w:rPr>
          <w:rFonts w:ascii="Arial" w:eastAsia="Times New Roman" w:hAnsi="Arial" w:cs="Arial"/>
          <w:b/>
          <w:bCs/>
          <w:color w:val="76797C"/>
          <w:sz w:val="18"/>
          <w:szCs w:val="18"/>
          <w:lang w:val="uk-UA" w:eastAsia="ru-RU"/>
        </w:rPr>
        <w:t> </w:t>
      </w:r>
    </w:p>
    <w:p w:rsidR="00BE2B8B" w:rsidRPr="00BE2B8B" w:rsidRDefault="00BE2B8B" w:rsidP="00BE2B8B">
      <w:pPr>
        <w:shd w:val="clear" w:color="auto" w:fill="FFFFFF"/>
        <w:spacing w:after="60"/>
        <w:outlineLvl w:val="5"/>
        <w:rPr>
          <w:rFonts w:ascii="Arial" w:eastAsia="Times New Roman" w:hAnsi="Arial" w:cs="Arial"/>
          <w:b/>
          <w:bCs/>
          <w:color w:val="76797C"/>
          <w:sz w:val="18"/>
          <w:szCs w:val="18"/>
          <w:lang w:val="uk-UA" w:eastAsia="ru-RU"/>
        </w:rPr>
      </w:pPr>
      <w:r w:rsidRPr="00BE2B8B">
        <w:rPr>
          <w:rFonts w:ascii="Arial" w:eastAsia="Times New Roman" w:hAnsi="Arial" w:cs="Arial"/>
          <w:color w:val="76797C"/>
          <w:sz w:val="18"/>
          <w:szCs w:val="18"/>
          <w:lang w:val="uk-UA" w:eastAsia="ru-RU"/>
        </w:rPr>
        <w:t>                                       </w:t>
      </w:r>
      <w:r w:rsidRPr="00BE2B8B">
        <w:rPr>
          <w:rFonts w:ascii="Arial" w:eastAsia="Times New Roman" w:hAnsi="Arial" w:cs="Arial"/>
          <w:b/>
          <w:bCs/>
          <w:color w:val="76797C"/>
          <w:sz w:val="18"/>
          <w:szCs w:val="18"/>
          <w:lang w:val="uk-UA" w:eastAsia="ru-RU"/>
        </w:rPr>
        <w:t> </w:t>
      </w:r>
    </w:p>
    <w:p w:rsidR="00BE2B8B" w:rsidRPr="00BE2B8B" w:rsidRDefault="00BE2B8B" w:rsidP="00BE2B8B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</w:pP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ІНФОРМАЦІЯ</w:t>
      </w:r>
    </w:p>
    <w:p w:rsidR="00BE2B8B" w:rsidRPr="00BE2B8B" w:rsidRDefault="00BE2B8B" w:rsidP="00BE2B8B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</w:pP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про хід</w:t>
      </w: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 </w:t>
      </w: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 xml:space="preserve"> виконання рішення сесії міської ради від 14.07.2011р. №669</w:t>
      </w:r>
    </w:p>
    <w:p w:rsidR="00BE2B8B" w:rsidRPr="00BE2B8B" w:rsidRDefault="00BE2B8B" w:rsidP="00BE2B8B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“Про </w:t>
      </w:r>
      <w:proofErr w:type="spellStart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затвердження</w:t>
      </w:r>
      <w:proofErr w:type="spellEnd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  </w:t>
      </w:r>
      <w:proofErr w:type="spellStart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Комплексної</w:t>
      </w:r>
      <w:proofErr w:type="spellEnd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міської</w:t>
      </w:r>
      <w:proofErr w:type="spellEnd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програми</w:t>
      </w:r>
      <w:proofErr w:type="spellEnd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  </w:t>
      </w:r>
      <w:proofErr w:type="spellStart"/>
      <w:proofErr w:type="gramStart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соц</w:t>
      </w:r>
      <w:proofErr w:type="gramEnd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іального</w:t>
      </w:r>
      <w:proofErr w:type="spellEnd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захисту</w:t>
      </w:r>
      <w:proofErr w:type="spellEnd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громадян</w:t>
      </w:r>
      <w:proofErr w:type="spellEnd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,</w:t>
      </w:r>
    </w:p>
    <w:p w:rsidR="00BE2B8B" w:rsidRPr="00BE2B8B" w:rsidRDefault="00BE2B8B" w:rsidP="00BE2B8B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 </w:t>
      </w:r>
      <w:proofErr w:type="spellStart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які</w:t>
      </w:r>
      <w:proofErr w:type="spellEnd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постраждали</w:t>
      </w:r>
      <w:proofErr w:type="spellEnd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внаслідок</w:t>
      </w:r>
      <w:proofErr w:type="spellEnd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Чорнобильської</w:t>
      </w:r>
      <w:proofErr w:type="spellEnd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катастрофи</w:t>
      </w:r>
      <w:proofErr w:type="spellEnd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, на 2011-2015 роки”</w:t>
      </w:r>
    </w:p>
    <w:p w:rsidR="00BE2B8B" w:rsidRPr="00BE2B8B" w:rsidRDefault="00BE2B8B" w:rsidP="00BE2B8B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 xml:space="preserve">за 2012 </w:t>
      </w:r>
      <w:proofErr w:type="spellStart"/>
      <w:proofErr w:type="gramStart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р</w:t>
      </w:r>
      <w:proofErr w:type="gramEnd"/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eastAsia="ru-RU"/>
        </w:rPr>
        <w:t>ік</w:t>
      </w:r>
      <w:proofErr w:type="spellEnd"/>
    </w:p>
    <w:p w:rsidR="00BE2B8B" w:rsidRPr="00BE2B8B" w:rsidRDefault="00BE2B8B" w:rsidP="00BE2B8B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           1. Основні дані.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75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З метою зменшення соціальної напруги та поступового  вирішення проблем соціального захисту громадян, постраждалих внаслідок Чорнобильської катастрофи (далі — постраждалих громадян) шляхом захисту їх у правовій, соціальній, медичній та культурній сферах сесією міської ради було прийнято рішення від 14.07.2011р. № 669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“Про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затвердження Комплексної міської програми соціального захисту громадян, постраждалих внаслідок Чорнобильської катастрофи на 2011-2015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роки”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(далі Програма).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75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Для досягнення цієї мети передбачено здійснити заходи правового, соціального, медичного, культурного та патріотично-виховного напрямків.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75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Основними завданнями Програми є: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надання правової допомоги, підвищення рівня правової грамотності серед  постраждалих громадян;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сприяння поліпшенню стану виконання державних програм соціального захисту  та забезпечення всебічної підтримки постраждалих громадян;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посилення уваги до проблем оздоровлення та лікування постраждалих громадян;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покращення матеріально-технічної бази медичних закладів;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·        формування у населення почуття громадської свідомості на прикладі подвигу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ліквіда-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торів;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сприяння духовному розвитку , виховання патріотичних почуттів у молоді;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підтримка та заохочення до розвитку творчих здібностей постраждалих дітей.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717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Програма має завдання протягом 2011-2015 років здійснити заходи у кількох напрямках, а саме: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·        правовому - надання правової допомоги, підвищення рівня правової грамотності постраждалих громадян, ознайомлення зі змінами в чинному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законодавсті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через засоби масової інформації, проведення спільних нарад,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“круглих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столів”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з активом громадської організації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“Союз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Чорнобиль”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з питань соціального захисту постраждалих громадян;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·        соціальному - поліпшення стану виконання державних програм соціального захисту постраждалих громадян, надання матеріальної підтримки та натуральної допомоги малозабезпеченим  та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гостропотребуючим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громадянам зазначеної категорії;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lastRenderedPageBreak/>
        <w:t>·        медичному - збереження здоров</w:t>
      </w:r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'</w:t>
      </w: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я постраждалого населення (дітей та дорослих) шляхом оздоровлення в санаторно-курортних закладах,  поліпшення якості його медичного обслуговування;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культурному та патріотично-виховному - збереження культурно-історичної спадщини суспільства.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733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Програма включає перелік завдань і заходів, виконання яких дозволить зменшити соціальну напругу серед постраждалого населення міста.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70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Програмою передбачено здійснити протягом  2011-2015 років такі заходи: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надання юридичних консультацій для постраждалих громадян;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своєчасне висвітлення в засобах масової інформації змін у чинному законодавстві щодо порядку надання допомоги, пільг та компенсацій, призначення пенсій постраждалим громадянам;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·        проведення нарад,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“круглих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столів”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з активом міської громадської організації  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“Союз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Чорнобиль”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з метою вирішення питань соціального захисту постраждалих громадян;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·        здійснення контролю виплати відпускних за додаткову чорнобильську відпустку відповідно до вимог закону України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“Про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статус і соціальний захист громадян, які постраждали внаслідок Чорнобильської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катастрофи”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·        надання натуральної та матеріальної допомоги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малозабезпеченним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сім</w:t>
      </w:r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'</w:t>
      </w: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ям постраждалих громадян;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·        сприяння своєчасному перерахунку пенсій, виплаті певних видів компенсацій,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допомог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та надання пільг з житлово-комунальних послуг, послуг зв'язку, пільговому проїзду  постраждалим громадянам;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поліпшення стану виконання державної програми по забезпеченню пільговим медичним обслуговуванням щодо безоплатного зубопротезування та надання медикаментів за пільговими рецептами лікарів;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проведення роботи по організації відпочинку та оздоровленню дітей та молоді, дорослих з числа постраждалих громадян в санаторно-курортних закладах;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надання соціально-медичної підтримки пенсіонерам та інвалідам з числа постраждалих громадян;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організація та проведення заходів щодо утримання в належному стані пам’ятника жертвам Чорнобиля та прилеглої до нього території;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організація та проведення культурно-мистецьких заходів до річниці аварії на ЧАЕС та Дня вшанування ліквідаторів аварії на ЧАЕС;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·        організація та проведення в навчально-виховних закладах міста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“уроків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мужності”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з участю ліквідаторів наслідків аварії на ЧАЕС, конкурсів малюнків, творчих робіт, плакатів, пов'язаних з тематикою Чорнобильської катастрофи;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освітлювання в засобах масової інформації матеріалів про осіб, які приймали участь у ліквідації аварії на ЧАЕС;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lastRenderedPageBreak/>
        <w:t>·        організація конкурсно-розважальних програм з врученням подарунків для дітей, постраждалих внаслідок Чорнобильської катастрофи.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 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33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          2. Виконання завдань і заходів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733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Протягом</w:t>
      </w: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 2012 року в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УПтаСЗН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надавалися юридичні консультації постраждалим  громадянам з питань надання  пільг з житлово-комунальних послуг, виплат щорічної допомоги на оздоровлення, одноразової допомоги за шкоду, заподіяну здоров’ю,  внаслідок впливу аварії на ЧАЕС.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733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На особистих прийомах начальників та спеціалістів відділів з призначення та виплати пенсій міського Пенсійного фонду України постраждалим громадянам надавались консультації щодо питань пенсійного забезпечення.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80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Проводились спільні наради представників міської ради за участю голови та членів міської громадської організації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”Союз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Чорнобиль”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з питань соціального захисту постраждалих від аварії на ЧАЕС.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80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На протязі  2012 року до засобів масової інформації надавались відповідні матеріали  щодо змін у чинному законодавстві та оголошення, а саме: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про подання документів на оздоровлення в санаторно-курортних закладах постраждалих від аварії на ЧАЕС на  2013рік;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про призначення  щорічної допомоги на оздоровлення постраждалим громадянам  за 2012 рік;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про проведення міських заходів до 26-ї річниці Чорнобильської катастрофи та до Дня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   вшанування учасників ліквідації аварії на ЧАЕС;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про встановлення розмірів грошової компенсації вартості продуктів харчування на 2012 рік для постраждалих громадян 1 та 2 категорій;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·        про перерахунок пенсій з 1 квітня 2012 року  особам, які отримують пенсію за законом України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“Про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статус і соціальний захист громадян, які постраждали внаслідок Чорнобильської   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катастрофи”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,  роз’яснення з призначення пенсій  в статті “ Чорнобильські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пенсії”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. 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70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З метою перевірки дотримання підприємствами, організаціями закону України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“Про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статус і соціальний захист громадян, які постраждали внаслідок Чорнобильської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катастрофи”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щодо виплати відпускних працюючим постраждалим громадянам за щорічні додаткові чорнобильські відпустки, у звітному періоді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УПтаСЗН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було проведено 9 перевірок. В ході перевірок порушень не виявлено.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40" w:firstLine="66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За звітний період міською радою надано матеріальну допомогу постраждалим внаслідок  Чорнобильської катастрофи на загальну суму 12000,00 грн., з них: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громадянам, які перебувають в скрутному матеріальному становищі із числа громадян, які постраждали внаслідок Чорнобильської катастрофи  -  7500,00 грн.;  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lastRenderedPageBreak/>
        <w:t>·        до 26-ї річниці аварії на ЧАЕС  вдовам померлих  ліквідаторів аварії на ЧАЕС, смерть яких пов’язана з наслідками Чорнобильської катастрофи,  - 4500,00 грн</w:t>
      </w: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З початку року учасникам ліквідації аварії на ЧАЕС за їх зверненнями  міським Пенсійним фондом  було проведено 21 перерахунок пенсій з більшого  заробітку за період перебування в зоні відчуження та 2 особам перерахунок пенсії за рішенням суду.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Протягом  2012 року  управлінням праці та соціального захисту населення  проведені виплати за соціальними програмами  захисту громадян, які постраждали внаслідок Чорнобильської катастрофи на загальну суму 2728896,86 грн., з них: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·        за рахунок державного бюджету виплачені певні види компенсацій та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допомог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на суму 1957140,27грн.;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·        за рахунок субвенції з  державного бюджету місцевим бюджетам відшкодовано житлово-комунальним підприємствам за надані пільги постраждалим громадянам з оплати житлово-комунальних послуг та послуг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зв’зку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- 761447,03 грн.;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за рахунок субвенції з  державного бюджету місцевим бюджетам 76 особам, постраждалим внаслідок Чорнобильської катастрофи, відшкодовано один раз на рік вартість пільгового проїзду  на суму 10309,56 грн.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2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За рахунок обласного бюджету протягом  2012 року відшкодовано на медичне обслуговування постраждалих громадян 51012,00грн., з них: 741 особа скористувалася безплатними медикаментами за рецептами лікарів на суму 40678,78грн., 13 осіб - безплатним зубопротезуванням на суму 10333,22 грн.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76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В терапевтичному відділенні №1 Багатопрофільної лікарні міста в палаті для лікування громадян, які постраждали внаслідок Чорнобильської катастрофи, за звітний період пройшли лікування за рахунок місцевого бюджету 52 особи, на загальну суму 18090,00 грн.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       Міським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теріторіальним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центром соціального обслуговування і надання соціальних послуг надано послуги 3-м постраждалим  внаслідок аварії на ЧАЕС.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         Постійно проводиться робота по утриманню в належному стані  пам’ятника жертвам Чорнобиля та прилеглої до нього території житлово-комунальними установами та громадською організацією міста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“Союз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Чорнобиль”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           Протягом 2012 року за рахунок державного бюджету, відповідно до розподілу путівок обласного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ГУПтаСЗН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, оздоровлено в санаторно-курортних закладах  3 потерпілі  дитини та  46 дорослих постраждалих внаслідок  аварії на ЧАЕС.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75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В рамках літньої оздоровчої кампанії  2012 року оздоровленням  за рахунок місцевого бюджету було охоплено 6 постраждалих дітей, з них: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1   дитина відпочивала в МДЦ  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“Артек”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-   5200,00 грн.  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lastRenderedPageBreak/>
        <w:t>·        1   дитина відпочивала на  базі  ДЗОВ  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“Альянс”–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2053,86 грн.  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4 дитини відпочивали у пришкільних таборах з денним перебуванням та безкоштовним   харчуванням на загальну суму 1600,00 грн.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7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П</w:t>
      </w:r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о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лінії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управління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охорони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здоров’я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 </w:t>
      </w: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з</w:t>
      </w:r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а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рахунок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коштів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державного бюджету оздоровлено 1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дитину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 в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санаторії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“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Здравниця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”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м.Євпаторія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 </w:t>
      </w: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75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З метою формування патріотичних почуттів населення міста, до 26-ї річниці Чорнобильської катастрофи та до Дня вшанування учасників ліквідації аварії на ЧАЕС  проводились наступні заходи: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проведено мітинг-реквієм та покладання квітів біля пам’ятника жертвам Чорнобиля;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проведено в храмах міста панахиди по загиблим та померлим внаслідок Чорнобильської катастрофи;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організовано участь ліквідаторів міста в обласних заходах, присвячених до 26-ї  річниці  Чорнобильської катастрофи;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·        надруковані в міській газеті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“Сєвєродонецькі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вісті”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статті до 26-ї річниці ліквідації аварії на ЧАЕС та до Дня  вшанування ліквідаторів аварії на ЧАЕС з тематикою: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“Ліквідатор”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, “ Вони зупинили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біду”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,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”Нагородили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кращих, намітили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плани”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,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“Знову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заграли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”Чорнобильські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мотиви”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відзначені 10 учасників ліквідації аварії на ЧАЕС з врученням цінних подарунків з нагоди Дня вшанування учасників ліквідації аварії на ЧАЕС;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організовано відвідування учасників ліквідації аварії на ЧАЕС </w:t>
      </w:r>
      <w:r w:rsidRPr="00BE2B8B">
        <w:rPr>
          <w:rFonts w:ascii="Arial" w:eastAsia="Times New Roman" w:hAnsi="Arial" w:cs="Arial"/>
          <w:color w:val="4A4A4A"/>
          <w:sz w:val="18"/>
          <w:szCs w:val="18"/>
          <w:lang w:val="en-US" w:eastAsia="ru-RU"/>
        </w:rPr>
        <w:t>I</w:t>
      </w: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-ї групи інвалідності з врученням подарунків за участю представників благодійної  організації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“Заради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майбутнього”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З метою сприяння духовному розвитку молоді, виховання любові до Батьківщини в місті до 26-ї річниці Чорнобильської катастрофи та Дня вшанування учасників ліквідації аварії на ЧАЕС в  міських  навчально-виховних закладах відбувалась низка тематичних  заходів, зокрема: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години спілкування, уроки мужності, зустрічі з ліквідаторами аварії та членами їх сімей;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 випуск плакатів, стіннівок, радіогазет, книжкові виставки у шкільних бібліотеках, перегляд кінофільмів, презентацій;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·        забезпечена участь у Міжнародному фестивалі пісні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“Чорнобильські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мотиви”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залучення дітей, які постраждали  внаслідок аварії на ЧАЕС,  до участі в благодійних акціях   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“Почуйте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всі!”,   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“Лелеченя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добра”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,   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“Милосердя”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,    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“Серце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до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серця”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, благодійних ярмарках, спортивно-масових змаганнях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“Школа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безпеки”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,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“Шкіряний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м'яч”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,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“Старти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надії”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,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“Козацький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гарт”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,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“Кубок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зі шкільного футболу “Євро-2012”;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lastRenderedPageBreak/>
        <w:t>·        організовано участь міської делегації в обласних урочистостях з нагоди 26-ї річниці Чорнобильської трагедії та до Дня вшанування учасників ліквідації аварії на ЧАЕС;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·        екскурсії до музею Бойової слави, музею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ПрАТ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“Сєвєродонецьке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об’єднання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“Азот”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, меморіального знаку.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74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В звітному періоді на проведення міських заходів, присвячених 26-й річниці Чорнобильської катастрофи та  Дню вшанування учасників ліквідації аварії на ЧАЕС з місцевого бюджету було виділено 5000,00 грн.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Окремі учні стали учасниками міського етапу обласного фестивалю дитячої творчості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“Діти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майбутнє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України”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, міського конкурсу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“Театральний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проспект”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, міського фестивалю дитячої поезії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“Джерельце”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72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Протягом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2012 року проводилась робота по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організації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відпочинку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  за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участю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потерпілих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дітей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за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рахунок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місцевого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 xml:space="preserve"> бюджету, а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саме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: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·        7 дітей відвідали  цирк — шапіто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”Олімп”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, квитки придбані на суму 560 грн.;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2 дитини прийняли участь в акції  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“Готуємо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дітей до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школи”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з отриманням подарунків на суму  96,00 грн.;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60 дітей отримали кондитерські подарунки з нагоди Новорічних  та Різдвяних свят на загальну суму 900,00грн.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майже 50 відсотків дітей, постраждалих внаслідок аварії на ЧАЕС, було охоплено організованим відпочинком на 5 майданчиках відпочинку при  позашкільних навчальних закладах.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15" w:hanging="3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           3. Оцінка ефективності виконання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667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Протягом 2012 року за рахунок місцевого бюджету  профінансовано: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на лікування  52 осіб  - 18090,00 грн.;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·        на відпочинок та оздоровлення постраждалих дітей - 8853,86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грн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, з них: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   відпочинок на базі ДЗОВ  «Альянс»  - 2053,86 грн.,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2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   відпочинок у пришкільних таборах з денним перебуванням та безкоштовним  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700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харчуванням - 1600,00 грн.,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   оздоровлення в медичному дитячому центрі  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“Артек”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-   5200,00 грн.;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на проведення міських заходів, присвячених 26-ій річниці аварії на ЧАЕС та  Дню вшанування учасників ліквідації аварії на ЧАЕС  -  5000,00 грн.;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lastRenderedPageBreak/>
        <w:t>·        на  подарунки з нагоди Новорічних та Різдвяних свят 60 постраждалим дітям внаслідок   аварії на ЧАЕС - 900,00 грн.;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на подарунки з нагоди вступу до школи  2 постраждалим дітям - 96,00грн.;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на квитки  в цирк-шапіто 7-ми постраждалим  дітям - 560,00грн.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·        на матеріальну допомогу малозабезпеченим,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гостропотребуючим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та дружинам померлих громадян, постраждалих внаслідок Чорнобильської катастрофи  12000,00  грн.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eastAsia="ru-RU"/>
        </w:rPr>
        <w:t> 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</w:t>
      </w: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4. Фінансування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667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Фінансове забезпечення заходів, передбачених цією Програмою, проводиться за рахунок коштів міського та державного бюджетів.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70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За рахунок коштів міського бюджету: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·        матеріальна допомога малозабезпеченим та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гостропотребуючим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 постраждалим громадянам;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матеріальна допомога вдовам померлих ліквідаторів аварії на ЧАЕС, смерть яких пов'язана з наслідками Чорнобильської катастрофи з нагоди річниці Чорнобильської трагедії 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медична допомога на лікування громадян в терапевтичному відділенні №1 Багатопрофільної лікарні міста та соціально-медична підтримка пенсіонерів та інвалідів з числа постраждалих громадян;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 xml:space="preserve">·        відпочинок та оздоровлення постраждалих дітей на  базі ДЗОВ 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“Альянс”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, у пришкільних таборах з денним перебуванням та безкоштовним харчуванням, в МДЦ  </w:t>
      </w:r>
      <w:proofErr w:type="spellStart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“Артек”</w:t>
      </w:r>
      <w:proofErr w:type="spellEnd"/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;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720" w:hanging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·        надання подарунків дітям постраждалим внаслідок Чорнобильської катастрофи.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65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Обсяги фінансування заходів цієї Програми складають100 відсотків.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firstLine="65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           5. Пропозиції щодо забезпечення подальшого виконання завдань Програми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          Передбачити у бюджеті на  2013 рік кошти на виконання завдань Програми у повному обсязі.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ind w:left="360"/>
        <w:jc w:val="both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 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color w:val="4A4A4A"/>
          <w:sz w:val="18"/>
          <w:szCs w:val="18"/>
          <w:lang w:val="uk-UA" w:eastAsia="ru-RU"/>
        </w:rPr>
        <w:t> 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 </w:t>
      </w:r>
    </w:p>
    <w:p w:rsidR="00BE2B8B" w:rsidRPr="00BE2B8B" w:rsidRDefault="00BE2B8B" w:rsidP="00BE2B8B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BE2B8B">
        <w:rPr>
          <w:rFonts w:ascii="Arial" w:eastAsia="Times New Roman" w:hAnsi="Arial" w:cs="Arial"/>
          <w:b/>
          <w:bCs/>
          <w:color w:val="4A4A4A"/>
          <w:sz w:val="18"/>
          <w:szCs w:val="18"/>
          <w:lang w:val="uk-UA" w:eastAsia="ru-RU"/>
        </w:rPr>
        <w:t>Секретар міської ради                                                               А.А.Гавриленко </w:t>
      </w:r>
    </w:p>
    <w:p w:rsidR="00C62C0A" w:rsidRPr="00BE2B8B" w:rsidRDefault="00C62C0A">
      <w:pPr>
        <w:rPr>
          <w:rFonts w:ascii="Arial" w:hAnsi="Arial" w:cs="Arial"/>
          <w:sz w:val="18"/>
          <w:szCs w:val="18"/>
        </w:rPr>
      </w:pPr>
    </w:p>
    <w:sectPr w:rsidR="00C62C0A" w:rsidRPr="00BE2B8B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BE2B8B"/>
    <w:rsid w:val="0064138E"/>
    <w:rsid w:val="00BE2B8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E2B8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E2B8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BE2B8B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9">
    <w:name w:val="heading 9"/>
    <w:basedOn w:val="a"/>
    <w:link w:val="90"/>
    <w:uiPriority w:val="9"/>
    <w:qFormat/>
    <w:rsid w:val="00BE2B8B"/>
    <w:pPr>
      <w:spacing w:before="100" w:beforeAutospacing="1" w:after="100" w:afterAutospacing="1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2B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2B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2B8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E2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2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2B8B"/>
  </w:style>
  <w:style w:type="paragraph" w:styleId="1">
    <w:name w:val="index 1"/>
    <w:basedOn w:val="a"/>
    <w:next w:val="a"/>
    <w:autoRedefine/>
    <w:uiPriority w:val="99"/>
    <w:semiHidden/>
    <w:unhideWhenUsed/>
    <w:rsid w:val="00BE2B8B"/>
    <w:pPr>
      <w:ind w:left="220" w:hanging="220"/>
    </w:pPr>
  </w:style>
  <w:style w:type="paragraph" w:styleId="a4">
    <w:name w:val="index heading"/>
    <w:basedOn w:val="a"/>
    <w:uiPriority w:val="99"/>
    <w:semiHidden/>
    <w:unhideWhenUsed/>
    <w:rsid w:val="00BE2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2B8B"/>
    <w:rPr>
      <w:b/>
      <w:bCs/>
    </w:rPr>
  </w:style>
  <w:style w:type="character" w:styleId="a6">
    <w:name w:val="Emphasis"/>
    <w:basedOn w:val="a0"/>
    <w:uiPriority w:val="20"/>
    <w:qFormat/>
    <w:rsid w:val="00BE2B8B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BE2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E2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E2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E2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E2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2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E2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E2B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2656</Words>
  <Characters>15145</Characters>
  <Application>Microsoft Office Word</Application>
  <DocSecurity>0</DocSecurity>
  <Lines>126</Lines>
  <Paragraphs>35</Paragraphs>
  <ScaleCrop>false</ScaleCrop>
  <Company>Северодонецкие вести</Company>
  <LinksUpToDate>false</LinksUpToDate>
  <CharactersWithSpaces>17766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2016-05-11T13:54:00Z</dcterms:created>
  <dcterms:modified xsi:type="dcterms:W3CDTF">2016-05-11T13:55:00Z</dcterms:modified>
</cp:coreProperties>
</file>