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СЄВЄРОДОНЕЦЬКА МIСЬКА РАДА</w:t>
      </w:r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ШОСТОГО СКЛИКАННЯ</w:t>
      </w:r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П'ятдесят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шоста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 (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чергова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)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сесія</w:t>
      </w:r>
      <w:proofErr w:type="spellEnd"/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РIШЕННЯ №2415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"  24 "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січня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 2013 року                                                                                        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м.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</w:t>
      </w:r>
      <w:proofErr w:type="spellEnd"/>
    </w:p>
    <w:p w:rsidR="001E7D15" w:rsidRPr="001E7D15" w:rsidRDefault="001E7D15" w:rsidP="001E7D15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Про хід  відчуження  об’єктів  комунальної</w:t>
      </w: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власності  територіальної  громади</w:t>
      </w: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м.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Сєвєродонецьк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за  2012 рік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Керуючись ст. 26 Закону України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місцеве самоврядування в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Україні”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від 21.05.1997р. № 280/97-ВР, Законом України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державний бюджет України на 2012 рік» від 22.12.2011р. № 4282-</w:t>
      </w:r>
      <w:r w:rsidRPr="001E7D15">
        <w:rPr>
          <w:rFonts w:ascii="Arial" w:eastAsia="Times New Roman" w:hAnsi="Arial" w:cs="Arial"/>
          <w:color w:val="4A4A4A"/>
          <w:sz w:val="18"/>
          <w:szCs w:val="18"/>
          <w:lang w:val="en-US" w:eastAsia="ru-RU"/>
        </w:rPr>
        <w:t>VI</w:t>
      </w: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1E7D15">
        <w:rPr>
          <w:rFonts w:ascii="Arial" w:eastAsia="Times New Roman" w:hAnsi="Arial" w:cs="Arial"/>
          <w:color w:val="4A4A4A"/>
          <w:sz w:val="18"/>
          <w:szCs w:val="18"/>
          <w:lang w:val="en-US" w:eastAsia="ru-RU"/>
        </w:rPr>
        <w:t>VI</w:t>
      </w: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Програмою відчуження об’єктів комунальної власності, затвердженою рішенням  міської ради від 26.04.2012р. № 1655 «Про затвердження Програми відчуження об’єктів комунальної власності територіальної громади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на 2012-2014 роки» та Переліком об’єктів комунальної власності, затвердженим рішенням міської ради від 26.04.2012р. №1656, «Про затвердження Переліку об’єктів комунальної власності територіальної громади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що підлягають відчуженню у 2012 році» розглянувши звіт про хід відчуження об’єктів комунальної власності територіальної громади м.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  за 2012 рік,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мiська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рада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ВИРIШИЛА: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1.                 Інформацію про відчуження об’єктів комунальної власності територіальної громади м.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за 2012 рік прийняти до відома (додаток 1).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2.                 Затвердити звіт про хід відчуження об’єктів комунальної власності територіальної громади м.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за 2012 рік (додаток 2).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3.                 Контроль за виконанням цього рішення покласти на постійну комісію по управлінню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житлово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1E7D15" w:rsidRPr="001E7D15" w:rsidRDefault="001E7D15" w:rsidP="001E7D1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     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Мicький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  голова           В.В.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1E7D15" w:rsidRPr="001E7D15" w:rsidRDefault="001E7D15" w:rsidP="001E7D1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shd w:val="clear" w:color="auto" w:fill="FFFFFF"/>
          <w:lang w:val="uk-UA" w:eastAsia="ru-RU"/>
        </w:rPr>
        <w:br w:type="textWrapping" w:clear="all"/>
      </w:r>
    </w:p>
    <w:p w:rsidR="001E7D15" w:rsidRPr="001E7D15" w:rsidRDefault="001E7D15" w:rsidP="001E7D15">
      <w:pPr>
        <w:shd w:val="clear" w:color="auto" w:fill="FFFFFF"/>
        <w:spacing w:after="180" w:line="360" w:lineRule="atLeast"/>
        <w:ind w:left="5664" w:firstLine="708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  1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lastRenderedPageBreak/>
        <w:t xml:space="preserve">до </w:t>
      </w: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рішення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сесiї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№ 2415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вiд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« 24 » </w:t>
      </w: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січня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 2013р.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ІНФОРМАЦІЯ</w:t>
      </w:r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про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власності</w:t>
      </w:r>
      <w:proofErr w:type="spellEnd"/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територіальної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громади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м.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 за 2012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рік</w:t>
      </w:r>
      <w:proofErr w:type="spellEnd"/>
    </w:p>
    <w:p w:rsidR="001E7D15" w:rsidRPr="001E7D15" w:rsidRDefault="001E7D15" w:rsidP="001E7D15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м.Сєвєродонецьк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2012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відбувалось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згідно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Законом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самоврядування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”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21.05.1997р. № 280/97-ВР, “Про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приватизацію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невеликих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державних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підприємств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(малу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приватизацію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)”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15.05.1996р. № 189/ВР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змінами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згідно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Закону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внесення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змін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деяких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законів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питань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приватизації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щодо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реалізації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положень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Державної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приватизації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2012-2014 роки»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13.01.2012р. № 4336-VI, Закону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Державну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приватизації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2012-2014 роки”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13.01.2012р. № 4335- VI, 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відповідності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Програмою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затвердженою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рішенням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26.04.2012р. № 1655 «Про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м.Сєвєродонецьк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2012-2014 роки»  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Переліком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затвердженим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рішенням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26.04.2012р. № 1656 «Про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Переліку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м.Сєвєродонецьк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підлягають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2012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».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В рамках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реалізації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2012-2014 роки до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Переліку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підлягають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2012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було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включено 22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10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перейшли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Переліку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Сєвєроднецьк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підлягали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не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продані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2011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Згідно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своїми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повноваженнями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Фонд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вимог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Державної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приватизації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2012-2014 роки,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затвердженої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Законом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13.01.2012р. №4335-VI  для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забезпечення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формування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ефективної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правової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бази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сфері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розробив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положення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регулюють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процедуру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конкурсів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відкритістю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пропонування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 принципом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в тому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числі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-  процедуру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 методом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зниження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лота та без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оголошення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початкової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лота, 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також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положення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  порядок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залучення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оціночної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діяльності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для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оцінки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вартості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метою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їх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               Робота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реалізації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Програми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2012-2014 роки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завдання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покладеного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Фонд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рішенням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05.01.2012р. № 1249 “Про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бюджет на 2012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”,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яким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передбачено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надходження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в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доходну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частину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бюджету у 2012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мільйону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гривень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 велась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згідно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планом-графіком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разом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розробкою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нормативно-правової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бази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забезпеченню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процесу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t>будувалась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трьох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основних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моментах,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передприватизаційна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підготовка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безпосередня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їх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реалізація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одним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способів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передбачені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законодавством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України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та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постприватизаційне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супроводження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ході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передприватизаційної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підготовки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здійснювались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наступні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заходи: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вивчення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попиту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робота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потенційними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покупцями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формування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переліку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інвентаризації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експертизи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проектно-кошторисної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документації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оренди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підлягали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визначення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способу, умов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вартості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підготовка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3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конкурсів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відбору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оціночної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діяльності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для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оцінки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12-ти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виготовлено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17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незалежних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експертних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оцінок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визначенню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ринкової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вартості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т.ч.  2-ох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експертних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оцінок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–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визначенню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ринкової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вартості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невід’ємних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поліпшень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орендарем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визначення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ринкової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вартості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долі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рецензування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17-ти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звітів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оцінки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метою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їх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підготовлено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оголошено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7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продажу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пропонувалося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13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Крім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того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було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підготовлено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оголошено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4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методу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зниження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лота,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пропонувалося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продажу 5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користуються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попитом  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потенційних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покупців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2011р.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2012р. 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будь-який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інший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спосіб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підготовка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укладання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нотаріальне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посвідчення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7-ми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договорів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купівлі-продажу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подання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реклами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іншої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інформації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стосується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процесів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офіційному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сайті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міста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Сєвєродонецька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в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місцевій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пресі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телебаченні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радіо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           В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ході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безпосередньої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реалізації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завдань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укладались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угоди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потенційними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покупцями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 права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обов’язки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сторін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ході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велась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підготовка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укладання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нотаріальне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посвідчення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договорів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купівлі-продажу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Протягом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року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змінили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форму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7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укладено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7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договорів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купівлі-продажу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нерухомого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Загальна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сума за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укладеними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договорами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купівлі-продажу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склала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399,101 тис.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грн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., в т .ч. ПДВ – 66,517тис.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грн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П’ять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конкурентним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способом –шляхом продажу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Два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способом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викупу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орендарями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здійснили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рахунок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невід’ємні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поліпшення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орендованого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майна, 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розмірі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менш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як 25%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ринкової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вартості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майна, за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яким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воно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було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передано в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оренду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визначеної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суб’єктом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оціночної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діяльності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для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цілей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оренди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дало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їм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право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викуп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t>Перелік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додається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(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додаток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2).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В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ході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постприватизаційного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супроводження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Фондом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майна проводилась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перевірка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умов договору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купівлі-продажу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єдиного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майнового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комплексу  КП «СРБМУ»,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що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2011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році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Велась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судово-претензійна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робота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захисту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інтересів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територіальної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громади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міста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стосовно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нерухомості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форми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Результатом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цієї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роботи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стало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відкриття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виконавчого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провадження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стягненню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неустойки 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сумі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26,1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тис.грн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фізичної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особи Титаренко О.В. , за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відмову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підписання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договору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купівлі-продажу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результатам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проведеного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Здійснювалась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робота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наданню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регіонального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відділення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ФДМУ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Луганській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області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статистичної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звітності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про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приватизацію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Аналізуючи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стан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процесу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у 2012році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слід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відмітити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низьку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активність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боку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потенційних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покупців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пропонувались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до продажу. Причинами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цього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є: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низька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платоспроможність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суб’єктів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господарювання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різьке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падіння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ринку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комерційної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нерухомості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незадовільний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технічний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стан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більшості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які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пропонувалися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до продажу та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їх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низька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комерційна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привабливість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для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потенційних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інвесторів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;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-        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більш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гнучка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цінова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політика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, яку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запроваджують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приватні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власники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аналогічні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нерухомості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Все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негативно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позначилось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процесі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Навіть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методу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зниження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лотів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без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обмеження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мінімальної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не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привабили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потенційних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покупців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.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Лише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на один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були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надані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дві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заяви,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проте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рішенням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спостережної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комісії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участю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депутатів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міської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ради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аукціон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був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припинений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причині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недоцільності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подальшого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зниження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ціни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об’єкта</w:t>
      </w:r>
      <w:proofErr w:type="spellEnd"/>
      <w:r w:rsidRPr="001E7D15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   </w:t>
      </w: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   Секретар  міської ради                                                                            А.А.Гавриленко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ind w:left="6237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  2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до </w:t>
      </w: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рiшення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 </w:t>
      </w: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сесiї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 №2415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вiд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« 24 » </w:t>
      </w:r>
      <w:proofErr w:type="spellStart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січня</w:t>
      </w:r>
      <w:proofErr w:type="spellEnd"/>
      <w:r w:rsidRPr="001E7D15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2013 року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ЗВІТ</w:t>
      </w:r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про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хід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відчуження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об’єктів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комунальної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власності</w:t>
      </w:r>
      <w:proofErr w:type="spellEnd"/>
    </w:p>
    <w:p w:rsidR="001E7D15" w:rsidRPr="001E7D15" w:rsidRDefault="001E7D15" w:rsidP="001E7D15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територіальної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громади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м.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</w:t>
      </w:r>
      <w:proofErr w:type="spellEnd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за 2012 </w:t>
      </w:r>
      <w:proofErr w:type="spellStart"/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рік</w:t>
      </w:r>
      <w:proofErr w:type="spellEnd"/>
    </w:p>
    <w:p w:rsidR="001E7D15" w:rsidRPr="001E7D15" w:rsidRDefault="001E7D15" w:rsidP="001E7D15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1253"/>
        <w:gridCol w:w="1958"/>
        <w:gridCol w:w="1869"/>
        <w:gridCol w:w="1286"/>
        <w:gridCol w:w="1571"/>
        <w:gridCol w:w="853"/>
      </w:tblGrid>
      <w:tr w:rsidR="001E7D15" w:rsidRPr="001E7D15" w:rsidTr="001E7D15">
        <w:trPr>
          <w:trHeight w:val="135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п/п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ind w:left="34" w:hanging="34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Назва об’єкта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Адреса об’єкта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Балансоутри-мувач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Ціна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продажу,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з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ураху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-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ванням</w:t>
            </w:r>
            <w:proofErr w:type="spellEnd"/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ПДВ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№, дата договору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купiвлi-продажу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Приміт-ка</w:t>
            </w:r>
            <w:proofErr w:type="spellEnd"/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7</w:t>
            </w:r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Нежитлове приміщення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заг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. площею 238.0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кв.м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Сєвєродонецьк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вул. Шевченка, 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Фонд комунального майна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115,000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№2036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21.09.2012р.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Нежитлове приміщення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заг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. площею 119,0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кв.м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Сєвєродонецьк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вул. Маяковського, 26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КП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ЖС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“Світанок”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67,2468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 2097</w:t>
            </w:r>
          </w:p>
          <w:p w:rsidR="001E7D15" w:rsidRPr="001E7D15" w:rsidRDefault="001E7D15" w:rsidP="001E7D15">
            <w:pPr>
              <w:spacing w:after="180" w:line="360" w:lineRule="atLeast"/>
              <w:ind w:left="-108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26.09.2012р.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3.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Нежитлове приміщення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заг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. площею 25,1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кв.м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Сєвєродонецьк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вул. Маяковського,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25-б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Фонд комунального майна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29,4168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№2716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04.12.2012р.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4.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Нежитлове приміщення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заг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. площею 65,0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кв.м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Сєвєродонецьк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вул. Донецька,60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Фонд комунального майна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76,9788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№2720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04.12.2012р.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5.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Нежитлове приміщення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заг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. площею 29,2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кв.м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м.Сєвєродонецьк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пр.Гвардійський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 67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КП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ЖС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«ЕВРІКА»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43,632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№2886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27.12.2012р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6.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Підвальне приміщення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заг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. площею </w:t>
            </w: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 xml:space="preserve">94,8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кв.м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 xml:space="preserve">м.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Сєвєродонецьк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вул. Маяковського, 13-а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Фонд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комунального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майна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57,139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№2889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27.12.2012р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1E7D15" w:rsidRPr="001E7D15" w:rsidTr="001E7D15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lastRenderedPageBreak/>
              <w:t>7.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Нежитлове приміщення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заг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. площею 8,2кв.м.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м.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Сєвєродонецьк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</w:t>
            </w:r>
          </w:p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вул. 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Курчатова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, 21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КП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 xml:space="preserve"> ЖС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«П</w:t>
            </w: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РОМ</w:t>
            </w:r>
            <w:proofErr w:type="spellStart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ІНЬ</w:t>
            </w:r>
            <w:proofErr w:type="spellEnd"/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9,6876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№2892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27.12.2012р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  <w:tr w:rsidR="001E7D15" w:rsidRPr="001E7D15" w:rsidTr="001E7D15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Усього: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399</w:t>
            </w:r>
            <w:r w:rsidRPr="001E7D1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,101</w:t>
            </w:r>
          </w:p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val="uk-UA" w:eastAsia="ru-RU"/>
              </w:rPr>
              <w:t>в т.ч. ПДВ – 66,5</w:t>
            </w:r>
            <w:r w:rsidRPr="001E7D15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D15" w:rsidRPr="001E7D15" w:rsidRDefault="001E7D15" w:rsidP="001E7D15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1E7D15">
              <w:rPr>
                <w:rFonts w:ascii="Arial" w:eastAsia="Times New Roman" w:hAnsi="Arial" w:cs="Arial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Секретар міської  ради                                                                            А.А. Гавриленко</w:t>
      </w:r>
    </w:p>
    <w:p w:rsidR="001E7D15" w:rsidRPr="001E7D15" w:rsidRDefault="001E7D15" w:rsidP="001E7D15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E7D15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C62C0A" w:rsidRPr="001E7D15" w:rsidRDefault="00C62C0A">
      <w:pPr>
        <w:rPr>
          <w:rFonts w:ascii="Arial" w:hAnsi="Arial" w:cs="Arial"/>
          <w:sz w:val="18"/>
          <w:szCs w:val="18"/>
        </w:rPr>
      </w:pPr>
    </w:p>
    <w:sectPr w:rsidR="00C62C0A" w:rsidRPr="001E7D15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1E7D15"/>
    <w:rsid w:val="001E7D15"/>
    <w:rsid w:val="00C62C0A"/>
    <w:rsid w:val="00F846EA"/>
    <w:rsid w:val="00FD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7D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D15"/>
  </w:style>
  <w:style w:type="paragraph" w:styleId="a4">
    <w:name w:val="Body Text Indent"/>
    <w:basedOn w:val="a"/>
    <w:link w:val="a5"/>
    <w:uiPriority w:val="99"/>
    <w:semiHidden/>
    <w:unhideWhenUsed/>
    <w:rsid w:val="001E7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7D15"/>
    <w:rPr>
      <w:i/>
      <w:iCs/>
    </w:rPr>
  </w:style>
  <w:style w:type="character" w:styleId="a7">
    <w:name w:val="Strong"/>
    <w:basedOn w:val="a0"/>
    <w:uiPriority w:val="22"/>
    <w:qFormat/>
    <w:rsid w:val="001E7D1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1E7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E7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9508</Characters>
  <Application>Microsoft Office Word</Application>
  <DocSecurity>0</DocSecurity>
  <Lines>79</Lines>
  <Paragraphs>22</Paragraphs>
  <ScaleCrop>false</ScaleCrop>
  <Company>Северодонецкие вести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2016-05-13T07:02:00Z</dcterms:created>
  <dcterms:modified xsi:type="dcterms:W3CDTF">2016-05-13T07:02:00Z</dcterms:modified>
</cp:coreProperties>
</file>