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2F" w:rsidRPr="00B6042F" w:rsidRDefault="00B6042F" w:rsidP="00B604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C</w:t>
      </w:r>
      <w:proofErr w:type="gram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ЄВ</w:t>
      </w:r>
      <w:proofErr w:type="gram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ЄРОДОНЕЦЬКА  МІСЬКА  РАДА</w:t>
      </w:r>
    </w:p>
    <w:p w:rsidR="00B6042F" w:rsidRPr="00B6042F" w:rsidRDefault="00B6042F" w:rsidP="00B604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B6042F" w:rsidRPr="00B6042F" w:rsidRDefault="00B6042F" w:rsidP="00B604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56 (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B6042F" w:rsidRPr="00B6042F" w:rsidRDefault="00B6042F" w:rsidP="00B6042F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 №2446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«_  24 _»_січня_2013 року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м.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Положення</w:t>
      </w:r>
      <w:proofErr w:type="spell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архівний</w:t>
      </w:r>
      <w:proofErr w:type="spell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відділ</w:t>
      </w:r>
      <w:proofErr w:type="spellEnd"/>
      <w:proofErr w:type="gram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</w:t>
      </w:r>
      <w:proofErr w:type="gram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євєродонецької</w:t>
      </w:r>
      <w:proofErr w:type="spell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ради у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новій</w:t>
      </w:r>
      <w:proofErr w:type="spell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редакції</w:t>
      </w:r>
      <w:proofErr w:type="spellEnd"/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Керуючись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п.4 ч.2 ст.38  Закону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місцеве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самоврядування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в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Україні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», ст.29 Закону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Національний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арх</w:t>
      </w:r>
      <w:proofErr w:type="gram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івний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фонд та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архівні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установи»,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рішенням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48-ої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сесії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 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25.10.2012 № 2154 «Про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створення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Комунальної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установи «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Трудовий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архів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м.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Сєвєродонецька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»,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відповідно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Примірного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положення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архівний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відділ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міста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республіканського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(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Автономної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республіки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Крим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),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обласного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значення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затвердженого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Наказом Державного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комітету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архіві</w:t>
      </w:r>
      <w:proofErr w:type="gram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</w:t>
      </w:r>
      <w:proofErr w:type="spellEnd"/>
      <w:proofErr w:type="gram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21.06.2002 № 49 (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із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змінами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затвердженими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Наказом Державного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комітету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архівів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України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05.06.2007 № 84),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Сєвєродонецька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міська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рада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right="-102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245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000000"/>
          <w:spacing w:val="-7"/>
          <w:sz w:val="16"/>
          <w:szCs w:val="16"/>
          <w:lang w:val="uk-UA" w:eastAsia="ru-RU"/>
        </w:rPr>
        <w:t>ВИРІШИЛА: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1.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Затвердити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Положення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архівний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відділ</w:t>
      </w:r>
      <w:proofErr w:type="spellEnd"/>
      <w:proofErr w:type="gram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</w:t>
      </w:r>
      <w:proofErr w:type="gram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у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новій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редакції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(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додаток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).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2.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Вважати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таким,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що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втратив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чинність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додаток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1 до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рішення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від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26.08.2011 №   781 «Про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затвердження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Положень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виконавчі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органи</w:t>
      </w:r>
      <w:proofErr w:type="spellEnd"/>
      <w:proofErr w:type="gram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</w:t>
      </w:r>
      <w:proofErr w:type="gram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ради».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3.  Дане </w:t>
      </w:r>
      <w:proofErr w:type="spellStart"/>
      <w:proofErr w:type="gram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</w:t>
      </w:r>
      <w:proofErr w:type="gram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ішення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підлягає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оприлюдненню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4.  Контроль за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виконанням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даного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proofErr w:type="gram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</w:t>
      </w:r>
      <w:proofErr w:type="gram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ішення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покласти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на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постійну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комісію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мандатну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питань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депутатської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діяльності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етики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по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роботі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гласності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Міський</w:t>
      </w:r>
      <w:proofErr w:type="spell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голова                   В.В.Казаков</w:t>
      </w:r>
    </w:p>
    <w:p w:rsidR="00B6042F" w:rsidRPr="00B6042F" w:rsidRDefault="00B6042F" w:rsidP="00B6042F">
      <w:pPr>
        <w:shd w:val="clear" w:color="auto" w:fill="FFFFFF"/>
        <w:spacing w:after="180" w:line="183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183" w:lineRule="atLeast"/>
        <w:ind w:left="5664"/>
        <w:jc w:val="righ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Додаток</w:t>
      </w:r>
      <w:proofErr w:type="spellEnd"/>
    </w:p>
    <w:p w:rsidR="00B6042F" w:rsidRPr="00B6042F" w:rsidRDefault="00B6042F" w:rsidP="00B6042F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до </w:t>
      </w:r>
      <w:proofErr w:type="spellStart"/>
      <w:proofErr w:type="gramStart"/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р</w:t>
      </w:r>
      <w:proofErr w:type="gramEnd"/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ішення</w:t>
      </w:r>
      <w:proofErr w:type="spellEnd"/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  56-ої </w:t>
      </w:r>
      <w:proofErr w:type="spellStart"/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сесії</w:t>
      </w:r>
      <w:proofErr w:type="spellEnd"/>
    </w:p>
    <w:p w:rsidR="00B6042F" w:rsidRPr="00B6042F" w:rsidRDefault="00B6042F" w:rsidP="00B6042F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від</w:t>
      </w:r>
      <w:proofErr w:type="spellEnd"/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 xml:space="preserve"> « 24 »  </w:t>
      </w:r>
      <w:proofErr w:type="spellStart"/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січня</w:t>
      </w:r>
      <w:proofErr w:type="spellEnd"/>
      <w:r w:rsidRPr="00B6042F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    2013 №   2446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lastRenderedPageBreak/>
        <w:t xml:space="preserve">Положення про архівний відділ </w:t>
      </w:r>
      <w:proofErr w:type="spellStart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міської ради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left="1068" w:hanging="360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1.</w:t>
      </w: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</w:t>
      </w: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ЗАГАЛЬНІ ПОЛОЖЕННЯ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1.1 Архівний відділ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міської ради (далі – відділ) є самостійним виконавчим органом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міської ради (далі міська рада), утворюється за поданням міського голови міською радою, підзвітний і підконтрольний раді, яка його утворила, підпорядкований її виконавчому комітету та міському голові, а з питань здійснення делегованих йому повноважень органів виконавчої влади у галузі архівної справи і діловодства підконтрольний відповідно Державному архіву Луганської області (далі –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Держархів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), Державній архівній службі України (далі –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Укрдержархів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) в порядку встановленому законом.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1.2 Відділ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Національний архівний фонд та архівні установи», «Про доступ до публічної інформації», «Про захист персональних даних», «Про охорону праці» іншими законами України, Указами і розпорядженнями  Президента України, Постановами і розпорядженнями Кабінету Міністрів України, рішеннями обласної ради, розпорядженнями голови обласної державної адміністрації, рішеннями міської ради та її виконавчого комітету, розпорядженнями міського голови та цим Положенням.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1.3 У здійсненні повноважень органів виконавчої влади у галузі архівної справи, діловодства відділ керується наказами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Укрдержархіву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Держархів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у.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left="1068" w:hanging="360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2.</w:t>
      </w: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</w:t>
      </w: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ЗАВДАННЯ ВІДДІЛУ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Основними завданнями відділу є: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2.1 Реалізація державної політики у сфері архівної справи і діловодства в межах своєї компетенції, здійснення управління архівною справою і діловодством на території міста.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2.2 Забезпечення дотримання законодавства України про Національний архівний фонд  та архівні установи.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2.3 Забезпечення поповнення Національного архівного фонду (далі – НАФ) документами, що мають місцеве значення, їх державної реєстрації, обліку, зберігання та використання їх інформації.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3.   ФУНКЦІЇ ВІДДІЛУ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lastRenderedPageBreak/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Відділ відповідно до покладених на нього завдань: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3.1 Складає і за погодженням з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Держархівом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подає на затвердження міському голові цільові програми, плани розвитку архівної справи в місті та забезпечує їх виконання.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3.2  Забезпечує зберігання, облік і охорону: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-          </w:t>
      </w: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документів НАФ, що нагромадилися за час діяльності у існуючих і тих,     що діяли раніше на сучасній території міста, державних органів, органів місцевого самоврядування,  підприємств, установ та організацій;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документів НАФ, що утворилися в процесі діяльності профспілкових, кооперативних, творчих та інших об’єднань громадян, переданих за їх згодою до відділу;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документів особового походження, що надійшли до відділу;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фотодокументів та аудіовізуальних документів з історії міста;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 документів, переданих у встановленому законом порядку для постійного  зберігання підприємствами, установами, організаціями незалежно від форм власності;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друкованих, ілюстративних та інших матеріалів, що доповнюють документи відділу і використовуються для довідково-інформаційної роботи;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-          облікових документів і довідкового апарату до документів.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3.3 Організовує роботу з внесення до НАФ або вилучення з нього документів фізичних і юридичних осіб, що перебувають у зоні комплектування відділу,  незалежно від форм власності.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3.4 Проводить  у встановленому порядку облік, обстеження та аналіз діяльності архівних установ, які створені на території міста, незалежно від форм власності та підпорядкування.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3.5   За дорученням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Укрдержархіву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контролює дотримання власниками документів НАФ вимог законодавства щодо здійснення права власності на зазначені документи.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3.6 Інформує 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Держархів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про виявлення архівних документів, що не мають власника або власник яких невідомий, а також про продаж документів НАФ з метою реалізації переважного права держави на їх придбання.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            3.7 Складає і за погодженням з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Держархівом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подає для затвердження міському голові список  юридичних осіб – джерел формування НАФ, які передають документи до архівного відділу, готує пропозиції щодо уточнення цього списку.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3.8 Приймає для зберігання документи НАФ від органів місцевого самоврядування, комунальних підприємств, установ та організацій, а також архівні документи громадян і їх об'єднань.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3.9 Приймає для зберігання документи НАФ від органів місцевого самоврядування, комунальних підприємств, установ та організацій, що ліквідуються без визначення правонаступників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3.10 Перевіряє роботу архівних підрозділів і служб діловодства на підприємствах, в установах і організаціях, що перебувають у зоні комплектування відділу, незалежно від форми власності, з метою здійснення контролю за дотриманням законодавства про НАФ та архівні установи шляхом проведення планових та позапланових перевірок. Надає зазначеним підрозділам і службам методичну допомогу в організації діловодства та зберіганні документів.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3.11 Надає консультативно-методичну допомогу в організації діяльності Комунальної установи «Трудовий архів м.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», яка здійснює централізоване тимчасове зберігання документів, нагромаджених у процесі документування </w:t>
      </w:r>
      <w:r w:rsidRPr="00B6042F">
        <w:rPr>
          <w:rFonts w:ascii="Arial" w:eastAsia="Times New Roman" w:hAnsi="Arial" w:cs="Arial"/>
          <w:color w:val="000000"/>
          <w:spacing w:val="7"/>
          <w:sz w:val="16"/>
          <w:szCs w:val="16"/>
          <w:lang w:val="uk-UA" w:eastAsia="ru-RU"/>
        </w:rPr>
        <w:t xml:space="preserve">службових, трудових або інших правовідносин юридичних і фізичних осіб на території міста </w:t>
      </w:r>
      <w:proofErr w:type="spellStart"/>
      <w:r w:rsidRPr="00B6042F">
        <w:rPr>
          <w:rFonts w:ascii="Arial" w:eastAsia="Times New Roman" w:hAnsi="Arial" w:cs="Arial"/>
          <w:color w:val="000000"/>
          <w:spacing w:val="7"/>
          <w:sz w:val="16"/>
          <w:szCs w:val="16"/>
          <w:lang w:val="uk-UA" w:eastAsia="ru-RU"/>
        </w:rPr>
        <w:t>Сєвєродонецька</w:t>
      </w:r>
      <w:proofErr w:type="spellEnd"/>
      <w:r w:rsidRPr="00B6042F">
        <w:rPr>
          <w:rFonts w:ascii="Arial" w:eastAsia="Times New Roman" w:hAnsi="Arial" w:cs="Arial"/>
          <w:color w:val="000000"/>
          <w:spacing w:val="7"/>
          <w:sz w:val="16"/>
          <w:szCs w:val="16"/>
          <w:lang w:val="uk-UA" w:eastAsia="ru-RU"/>
        </w:rPr>
        <w:t>, та інших архівних документів, що не належать до Національного архівного фонду України.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3.12 Інформує міську раду, 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Держархів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про факти втрати, пошкодження, знищення архівних документів, інші порушення законодавства про НАФ та архівні установи.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3.13 Веде зведений облік архівних документів, що зберігають органи місцевого самоврядування, комунальні підприємства, установи і організації – джерела комплектування відділу та документів НАФ, що належать громадянам, надає відомості про них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Держархіву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3.14 Передає за угодою до 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Держархів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у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визначені ним терміни  документи НАФ та довідковий апарат до них для постійного зберігання.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3.15 Створює і вдосконалює довідковий апарат  до документів НАФ, що зберігається у відділі.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3.16 Інформує органи державної влади, органи місцевого самоврядування, підприємства, установи і організації про склад і зміст документів, що зберігаються у відділі, надає документи НАФ для користування фізичним та юридичним особам; публікує, експонує та в іншій формі популяризує архівні документи, а також виконує інші функції, спрямовані на ефективне використання відомостей, що містяться в документах НАФ.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3.17 Видає підприємствам, установам і організаціям, громадянам архівні довідки, копії та витяги з документів, що перебувають на зберіганні у відділі, у т.ч. ті, що підпадають під дію Закону України «Про доступ до публічної інформації», а також іншим шляхом задовольняє запити юридичних і фізичних осіб щодо використання архівної інформації.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3.18 Організовує перегляд в установленому порядку рішень про обмеження доступу до документів, забезпечує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долучення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до архівних документів на обґрунтовану вимогу фізичних осіб письмового спростування чи доповнення недостовірних відомостей про особу.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3.19</w:t>
      </w: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Вивчає, узагальнює поширює досвід роботи архівних установ.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3.20 Розробляє проекти нормативно-правових актів (рішень міської ради, виконавчого комітету) з різних питань ведення архівної справи та її розвитку у місті.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left="1068" w:hanging="360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4.</w:t>
      </w: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</w:t>
      </w: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ПРАВА ВІДДІЛУ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60"/>
        <w:ind w:firstLine="72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Відділ має право: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 xml:space="preserve">4.1 Отримувати від інших виконавчих органів міської ради, а також від підприємств, установ і організацій незалежно від форм власності, що перебувають у зоні комплектування відділу,  інформацію, документи щодо зберігання і науково-технічного опрацювання документів НАФ та ведення діловодства, а від Управління статистики у м.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– безоплатно статистичні дані, необхідні для виконання покладених на нього завдань.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4.2 Давати у межах своїх повноважень підприємствам, установам і організаціям, що перебувають у зоні комплектування відділу, вказівки щодо роботи їх архівних підрозділів та ведення діловодства.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4.3 Вимагати від юридичних і фізичних осіб, які мають архівні документи, від часу створення яких минуло понад 50 років, або які мають намір здійснити їх відчуження, вивезення за межі України, проведення експертизи цінності цих документів.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4.4 Подавати до суду позов про позбавлення власника документів НАФ права власності на ці документи, якщо він не забезпечує їх належної збереженості.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4.5 Порушувати питання про припинення діяльності архівних установ, які не забезпечують збереженості документів НАФ.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4.6  Порушувати в порядку, встановленому законодавством, питання про притягнення до відповідальності працівників архівних установ, користувачів документами НАФ та інших осіб, винних у порушенні законодавства про НАФ та архівні установи та про відшкодування ними шкоди, завданої власнику документів НАФ або уповноваженій ним особі.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4.7 Обмежувати у випадках передбачених законодавством доступ до документів НАФ, що зберігаються у відділі.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left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4.8  Скликати наради з питань, що належать до його компетенції.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4.9 Працівники відділу мають право для виконання покладених на них службових обов’язків відвідувати архівні підрозділи і діловодні служби підприємств, установ, організацій міста незалежно від форм власності, що перебувають у зоні комплектування відділу, а також право доступу до їх документів, за винятком тих, що згідно із законодавством спеціально охороняються.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5.   ОРГАНІЗАЦІЯ РОБОТИ ВІДДІЛУ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5.1 Відділ відповідно до законів України «Про місцеве самоврядування в України», «Про службу в органах місцевого самоврядування», «Про Національний архівний фонд та архівні установи», «Про доступ до публічної інформації», «Про захист персональних даних» здійснює покладені на нього організаційно-розпорядчі та консультативно-дорадчі функції.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5.2 Відділ очолює начальник, який призначається на посаду та звільняється з посади розпорядженням міського голови.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5.3 Начальник відділу має заступника, який призначається на посаду та звільняється з посади розпорядженням міського голови.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5.4 Начальник відділу: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5.4.1 Здійснює керівництво діяльністю відділу.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5.4.2 Розробляє посадові інструкції працівників відділу та контролює їх виконання.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5.4.3 Планує роботу і забезпечує виконання планів.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5.4.4 Координує роботу із взаємодії  з іншими виконавчими органами міської ради та з підприємствами, установами і організаціями.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5.4.5  Ініціює розгляд питань щодо удосконалення роботи та її методів.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5.4.6  Виконує інші повноваження.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5.5 Для розгляду питань, пов’язаних з проведенням попередньої експертизи цінності документів та поданням її результатів на розгляд Експертно-перевірної комісії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Держархіву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а також з інших питань у відділі створюється  експертна комісія (далі – ЕК).</w:t>
      </w:r>
    </w:p>
    <w:p w:rsidR="00B6042F" w:rsidRPr="00B6042F" w:rsidRDefault="00B6042F" w:rsidP="00B6042F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Положення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про ЕК та </w:t>
      </w: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її 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персональний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склад 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затверджує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міський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голова на </w:t>
      </w:r>
      <w:proofErr w:type="spellStart"/>
      <w:proofErr w:type="gram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</w:t>
      </w:r>
      <w:proofErr w:type="gram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ідставі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Типового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положення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, </w:t>
      </w:r>
      <w:proofErr w:type="spellStart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затвердженого</w:t>
      </w: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Укрдержархівом</w:t>
      </w:r>
      <w:proofErr w:type="spellEnd"/>
      <w:r w:rsidRPr="00B6042F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left="720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6.   ВІДПОВІДАЛЬНІСТЬ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6.1 Начальник відділу несе персональну  відповідальність за неякісне виконання покладених на відділ завдань.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6.2 Працівники несуть відповідальність  за неналежне</w:t>
      </w: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виконання своїх обов’язків згідно з чинним законодавством України.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7.   ПРИКІНЦЕВІ ПОЛОЖЕННЯ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7.1 Положення про відділ затверджується рішенням сесії міської ради.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7.2 Зміни та доповнення до Положення затверджуються рішеннями сесій міської ради.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7.3 Відділ може бути ліквідований, реорганізований, перепрофільований рішенням сесії міської ради, що затверджується виключно на пленарному засіданні міської ради.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Секретар ради            А.А.Гавриленко</w:t>
      </w:r>
    </w:p>
    <w:p w:rsidR="00B6042F" w:rsidRPr="00B6042F" w:rsidRDefault="00B6042F" w:rsidP="00B6042F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B6042F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lastRenderedPageBreak/>
        <w:t> </w:t>
      </w:r>
    </w:p>
    <w:p w:rsidR="00C62C0A" w:rsidRPr="00B6042F" w:rsidRDefault="00C62C0A">
      <w:pPr>
        <w:rPr>
          <w:rFonts w:ascii="Arial" w:hAnsi="Arial" w:cs="Arial"/>
          <w:sz w:val="16"/>
          <w:szCs w:val="16"/>
        </w:rPr>
      </w:pPr>
    </w:p>
    <w:sectPr w:rsidR="00C62C0A" w:rsidRPr="00B6042F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6042F"/>
    <w:rsid w:val="00854268"/>
    <w:rsid w:val="00B6042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604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0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42F"/>
    <w:rPr>
      <w:b/>
      <w:bCs/>
    </w:rPr>
  </w:style>
  <w:style w:type="character" w:styleId="a5">
    <w:name w:val="Emphasis"/>
    <w:basedOn w:val="a0"/>
    <w:uiPriority w:val="20"/>
    <w:qFormat/>
    <w:rsid w:val="00B6042F"/>
    <w:rPr>
      <w:i/>
      <w:iCs/>
    </w:rPr>
  </w:style>
  <w:style w:type="character" w:customStyle="1" w:styleId="apple-converted-space">
    <w:name w:val="apple-converted-space"/>
    <w:basedOn w:val="a0"/>
    <w:rsid w:val="00B6042F"/>
  </w:style>
  <w:style w:type="paragraph" w:styleId="a6">
    <w:name w:val="Body Text Indent"/>
    <w:basedOn w:val="a"/>
    <w:link w:val="a7"/>
    <w:uiPriority w:val="99"/>
    <w:semiHidden/>
    <w:unhideWhenUsed/>
    <w:rsid w:val="00B60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6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604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0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10876</Characters>
  <Application>Microsoft Office Word</Application>
  <DocSecurity>0</DocSecurity>
  <Lines>90</Lines>
  <Paragraphs>25</Paragraphs>
  <ScaleCrop>false</ScaleCrop>
  <Company>Северодонецкие вести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2016-05-13T10:19:00Z</dcterms:created>
  <dcterms:modified xsi:type="dcterms:W3CDTF">2016-05-13T10:19:00Z</dcterms:modified>
</cp:coreProperties>
</file>