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6B9" w:rsidRPr="004566B9" w:rsidRDefault="004566B9" w:rsidP="004566B9">
      <w:pPr>
        <w:shd w:val="clear" w:color="auto" w:fill="FFFFFF"/>
        <w:spacing w:after="60"/>
        <w:jc w:val="center"/>
        <w:outlineLvl w:val="1"/>
        <w:rPr>
          <w:rFonts w:ascii="Tahoma" w:eastAsia="Times New Roman" w:hAnsi="Tahoma" w:cs="Tahoma"/>
          <w:b/>
          <w:bCs/>
          <w:color w:val="4A4A4A"/>
          <w:sz w:val="31"/>
          <w:szCs w:val="31"/>
          <w:lang w:eastAsia="ru-RU"/>
        </w:rPr>
      </w:pPr>
      <w:r w:rsidRPr="004566B9">
        <w:rPr>
          <w:rFonts w:ascii="Tahoma" w:eastAsia="Times New Roman" w:hAnsi="Tahoma" w:cs="Tahoma"/>
          <w:b/>
          <w:bCs/>
          <w:color w:val="4A4A4A"/>
          <w:sz w:val="31"/>
          <w:szCs w:val="31"/>
          <w:lang w:eastAsia="ru-RU"/>
        </w:rPr>
        <w:t>СЄВЄРОДОНЕЦЬКА МІСЬКА РАДА</w:t>
      </w:r>
    </w:p>
    <w:p w:rsidR="004566B9" w:rsidRPr="004566B9" w:rsidRDefault="004566B9" w:rsidP="004566B9">
      <w:pPr>
        <w:shd w:val="clear" w:color="auto" w:fill="FFFFFF"/>
        <w:spacing w:after="60"/>
        <w:jc w:val="center"/>
        <w:outlineLvl w:val="1"/>
        <w:rPr>
          <w:rFonts w:ascii="Tahoma" w:eastAsia="Times New Roman" w:hAnsi="Tahoma" w:cs="Tahoma"/>
          <w:b/>
          <w:bCs/>
          <w:color w:val="4A4A4A"/>
          <w:sz w:val="31"/>
          <w:szCs w:val="31"/>
          <w:lang w:eastAsia="ru-RU"/>
        </w:rPr>
      </w:pPr>
      <w:r w:rsidRPr="004566B9">
        <w:rPr>
          <w:rFonts w:ascii="Tahoma" w:eastAsia="Times New Roman" w:hAnsi="Tahoma" w:cs="Tahoma"/>
          <w:b/>
          <w:bCs/>
          <w:color w:val="4A4A4A"/>
          <w:sz w:val="31"/>
          <w:szCs w:val="31"/>
          <w:lang w:eastAsia="ru-RU"/>
        </w:rPr>
        <w:t>ШОСТОГО СКЛИКАННЯ</w:t>
      </w:r>
    </w:p>
    <w:p w:rsidR="004566B9" w:rsidRPr="004566B9" w:rsidRDefault="004566B9" w:rsidP="004566B9">
      <w:pPr>
        <w:shd w:val="clear" w:color="auto" w:fill="FFFFFF"/>
        <w:spacing w:after="60"/>
        <w:jc w:val="center"/>
        <w:outlineLvl w:val="1"/>
        <w:rPr>
          <w:rFonts w:ascii="Tahoma" w:eastAsia="Times New Roman" w:hAnsi="Tahoma" w:cs="Tahoma"/>
          <w:b/>
          <w:bCs/>
          <w:color w:val="4A4A4A"/>
          <w:sz w:val="31"/>
          <w:szCs w:val="31"/>
          <w:lang w:eastAsia="ru-RU"/>
        </w:rPr>
      </w:pPr>
      <w:r w:rsidRPr="004566B9">
        <w:rPr>
          <w:rFonts w:ascii="Tahoma" w:eastAsia="Times New Roman" w:hAnsi="Tahoma" w:cs="Tahoma"/>
          <w:b/>
          <w:bCs/>
          <w:color w:val="4A4A4A"/>
          <w:sz w:val="31"/>
          <w:szCs w:val="31"/>
          <w:lang w:eastAsia="ru-RU"/>
        </w:rPr>
        <w:t>П’ятдесят сьома (чергова) сесія</w:t>
      </w:r>
    </w:p>
    <w:p w:rsidR="004566B9" w:rsidRPr="004566B9" w:rsidRDefault="004566B9" w:rsidP="004566B9">
      <w:pPr>
        <w:shd w:val="clear" w:color="auto" w:fill="FFFFFF"/>
        <w:spacing w:after="60"/>
        <w:jc w:val="center"/>
        <w:outlineLvl w:val="1"/>
        <w:rPr>
          <w:rFonts w:ascii="Tahoma" w:eastAsia="Times New Roman" w:hAnsi="Tahoma" w:cs="Tahoma"/>
          <w:b/>
          <w:bCs/>
          <w:color w:val="4A4A4A"/>
          <w:sz w:val="31"/>
          <w:szCs w:val="31"/>
          <w:lang w:eastAsia="ru-RU"/>
        </w:rPr>
      </w:pPr>
      <w:r w:rsidRPr="004566B9">
        <w:rPr>
          <w:rFonts w:ascii="Tahoma" w:eastAsia="Times New Roman" w:hAnsi="Tahoma" w:cs="Tahoma"/>
          <w:b/>
          <w:bCs/>
          <w:color w:val="4A4A4A"/>
          <w:sz w:val="31"/>
          <w:szCs w:val="31"/>
          <w:lang w:eastAsia="ru-RU"/>
        </w:rPr>
        <w:t>РІШЕННЯ №2466</w:t>
      </w:r>
    </w:p>
    <w:p w:rsidR="004566B9" w:rsidRPr="004566B9" w:rsidRDefault="004566B9" w:rsidP="004566B9">
      <w:pPr>
        <w:shd w:val="clear" w:color="auto" w:fill="FFFFFF"/>
        <w:spacing w:after="180" w:line="360" w:lineRule="atLeast"/>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eastAsia="ru-RU"/>
        </w:rPr>
        <w:t> </w:t>
      </w:r>
    </w:p>
    <w:p w:rsidR="004566B9" w:rsidRPr="004566B9" w:rsidRDefault="004566B9" w:rsidP="004566B9">
      <w:pPr>
        <w:shd w:val="clear" w:color="auto" w:fill="FFFFFF"/>
        <w:spacing w:after="180" w:line="360" w:lineRule="atLeast"/>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eastAsia="ru-RU"/>
        </w:rPr>
        <w:t> “21” лютого 2013  року</w:t>
      </w:r>
    </w:p>
    <w:p w:rsidR="004566B9" w:rsidRPr="004566B9" w:rsidRDefault="004566B9" w:rsidP="004566B9">
      <w:pPr>
        <w:shd w:val="clear" w:color="auto" w:fill="FFFFFF"/>
        <w:spacing w:after="180" w:line="360" w:lineRule="atLeast"/>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eastAsia="ru-RU"/>
        </w:rPr>
        <w:t>м. Сєвєродонецьк</w:t>
      </w:r>
    </w:p>
    <w:p w:rsidR="004566B9" w:rsidRPr="004566B9" w:rsidRDefault="004566B9" w:rsidP="004566B9">
      <w:pPr>
        <w:shd w:val="clear" w:color="auto" w:fill="FFFFFF"/>
        <w:spacing w:after="60"/>
        <w:outlineLvl w:val="1"/>
        <w:rPr>
          <w:rFonts w:ascii="Tahoma" w:eastAsia="Times New Roman" w:hAnsi="Tahoma" w:cs="Tahoma"/>
          <w:b/>
          <w:bCs/>
          <w:color w:val="4A4A4A"/>
          <w:sz w:val="31"/>
          <w:szCs w:val="31"/>
          <w:lang w:eastAsia="ru-RU"/>
        </w:rPr>
      </w:pPr>
      <w:r w:rsidRPr="004566B9">
        <w:rPr>
          <w:rFonts w:ascii="Tahoma" w:eastAsia="Times New Roman" w:hAnsi="Tahoma" w:cs="Tahoma"/>
          <w:b/>
          <w:bCs/>
          <w:color w:val="4A4A4A"/>
          <w:sz w:val="31"/>
          <w:szCs w:val="31"/>
          <w:lang w:val="uk-UA" w:eastAsia="ru-RU"/>
        </w:rPr>
        <w:t>Про хід виконання рішення сесії міської ради</w:t>
      </w:r>
      <w:r w:rsidRPr="004566B9">
        <w:rPr>
          <w:rFonts w:ascii="Tahoma" w:eastAsia="Times New Roman" w:hAnsi="Tahoma" w:cs="Tahoma"/>
          <w:b/>
          <w:bCs/>
          <w:color w:val="4A4A4A"/>
          <w:sz w:val="31"/>
          <w:lang w:eastAsia="ru-RU"/>
        </w:rPr>
        <w:t> </w:t>
      </w:r>
      <w:r w:rsidRPr="004566B9">
        <w:rPr>
          <w:rFonts w:ascii="Tahoma" w:eastAsia="Times New Roman" w:hAnsi="Tahoma" w:cs="Tahoma"/>
          <w:b/>
          <w:bCs/>
          <w:color w:val="4A4A4A"/>
          <w:sz w:val="31"/>
          <w:szCs w:val="31"/>
          <w:lang w:val="uk-UA" w:eastAsia="ru-RU"/>
        </w:rPr>
        <w:t>від 23.02.2012 р. № 1394 «Про затвердженняМіської цільової комплексної програми</w:t>
      </w:r>
      <w:r w:rsidRPr="004566B9">
        <w:rPr>
          <w:rFonts w:ascii="Tahoma" w:eastAsia="Times New Roman" w:hAnsi="Tahoma" w:cs="Tahoma"/>
          <w:b/>
          <w:bCs/>
          <w:color w:val="4A4A4A"/>
          <w:sz w:val="31"/>
          <w:lang w:eastAsia="ru-RU"/>
        </w:rPr>
        <w:t> </w:t>
      </w:r>
      <w:r w:rsidRPr="004566B9">
        <w:rPr>
          <w:rFonts w:ascii="Tahoma" w:eastAsia="Times New Roman" w:hAnsi="Tahoma" w:cs="Tahoma"/>
          <w:b/>
          <w:bCs/>
          <w:color w:val="4A4A4A"/>
          <w:sz w:val="31"/>
          <w:szCs w:val="31"/>
          <w:lang w:val="uk-UA" w:eastAsia="ru-RU"/>
        </w:rPr>
        <w:t>«Розвитку фізичної культури та спорту»</w:t>
      </w:r>
      <w:r w:rsidRPr="004566B9">
        <w:rPr>
          <w:rFonts w:ascii="Tahoma" w:eastAsia="Times New Roman" w:hAnsi="Tahoma" w:cs="Tahoma"/>
          <w:b/>
          <w:bCs/>
          <w:color w:val="4A4A4A"/>
          <w:sz w:val="31"/>
          <w:lang w:eastAsia="ru-RU"/>
        </w:rPr>
        <w:t> </w:t>
      </w:r>
      <w:r w:rsidRPr="004566B9">
        <w:rPr>
          <w:rFonts w:ascii="Tahoma" w:eastAsia="Times New Roman" w:hAnsi="Tahoma" w:cs="Tahoma"/>
          <w:b/>
          <w:bCs/>
          <w:color w:val="4A4A4A"/>
          <w:sz w:val="31"/>
          <w:szCs w:val="31"/>
          <w:lang w:val="uk-UA" w:eastAsia="ru-RU"/>
        </w:rPr>
        <w:t>на 2012-2016 роки» за 2012 рік</w:t>
      </w:r>
    </w:p>
    <w:p w:rsidR="004566B9" w:rsidRPr="004566B9" w:rsidRDefault="004566B9" w:rsidP="004566B9">
      <w:pPr>
        <w:shd w:val="clear" w:color="auto" w:fill="FFFFFF"/>
        <w:spacing w:after="180" w:line="360" w:lineRule="atLeast"/>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 </w:t>
      </w:r>
    </w:p>
    <w:p w:rsidR="004566B9" w:rsidRPr="004566B9" w:rsidRDefault="004566B9" w:rsidP="004566B9">
      <w:pPr>
        <w:shd w:val="clear" w:color="auto" w:fill="FFFFFF"/>
        <w:spacing w:after="180" w:line="360" w:lineRule="atLeast"/>
        <w:ind w:firstLine="720"/>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На виконання Закону України «Про фізичну культуру і спорт»</w:t>
      </w:r>
      <w:r w:rsidRPr="004566B9">
        <w:rPr>
          <w:rFonts w:ascii="Tahoma" w:eastAsia="Times New Roman" w:hAnsi="Tahoma" w:cs="Tahoma"/>
          <w:i/>
          <w:iCs/>
          <w:color w:val="4A4A4A"/>
          <w:sz w:val="15"/>
          <w:szCs w:val="15"/>
          <w:lang w:val="uk-UA" w:eastAsia="ru-RU"/>
        </w:rPr>
        <w:t>,</w:t>
      </w:r>
      <w:r w:rsidRPr="004566B9">
        <w:rPr>
          <w:rFonts w:ascii="Tahoma" w:eastAsia="Times New Roman" w:hAnsi="Tahoma" w:cs="Tahoma"/>
          <w:color w:val="4A4A4A"/>
          <w:sz w:val="15"/>
          <w:lang w:val="uk-UA" w:eastAsia="ru-RU"/>
        </w:rPr>
        <w:t> </w:t>
      </w:r>
      <w:r w:rsidRPr="004566B9">
        <w:rPr>
          <w:rFonts w:ascii="Tahoma" w:eastAsia="Times New Roman" w:hAnsi="Tahoma" w:cs="Tahoma"/>
          <w:color w:val="4A4A4A"/>
          <w:sz w:val="15"/>
          <w:szCs w:val="15"/>
          <w:lang w:val="uk-UA" w:eastAsia="ru-RU"/>
        </w:rPr>
        <w:t>Указів Президента України</w:t>
      </w:r>
      <w:r w:rsidRPr="004566B9">
        <w:rPr>
          <w:rFonts w:ascii="Tahoma" w:eastAsia="Times New Roman" w:hAnsi="Tahoma" w:cs="Tahoma"/>
          <w:color w:val="4A4A4A"/>
          <w:sz w:val="15"/>
          <w:lang w:val="uk-UA" w:eastAsia="ru-RU"/>
        </w:rPr>
        <w:t> </w:t>
      </w:r>
      <w:r w:rsidRPr="004566B9">
        <w:rPr>
          <w:rFonts w:ascii="Tahoma" w:eastAsia="Times New Roman" w:hAnsi="Tahoma" w:cs="Tahoma"/>
          <w:color w:val="4A4A4A"/>
          <w:sz w:val="15"/>
          <w:szCs w:val="15"/>
          <w:lang w:val="uk-UA" w:eastAsia="ru-RU"/>
        </w:rPr>
        <w:t> № 640/2008 від 21.07.2008 р. «Про пріоритети розвитку фізичної культури і спорту в Україні», № 478/2009 від 23.06.2009р. «Про деякі заходи щодо вдосконалення системи фізичного виховання дітей та молоді у навчальних закладах і розвитку дитячо-юнацького спорту в Україні», розпорядження Кабінету Міністрів України від 31.08.2011р. № 828-р «Про схвалення Концепції Загальнодержавної цільової соціальної програми розвитку фізичної культури і спорту на 2012-2016 роки», керуючись п.22 ст. 26 Закону України «Про місцеве самоврядування в Україні» від 21.05.1997 року, Сєвєродонецька міська рада</w:t>
      </w:r>
    </w:p>
    <w:p w:rsidR="004566B9" w:rsidRPr="004566B9" w:rsidRDefault="004566B9" w:rsidP="004566B9">
      <w:pPr>
        <w:shd w:val="clear" w:color="auto" w:fill="FFFFFF"/>
        <w:spacing w:after="180" w:line="360" w:lineRule="atLeast"/>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 </w:t>
      </w:r>
    </w:p>
    <w:p w:rsidR="004566B9" w:rsidRPr="004566B9" w:rsidRDefault="004566B9" w:rsidP="004566B9">
      <w:pPr>
        <w:shd w:val="clear" w:color="auto" w:fill="FFFFFF"/>
        <w:spacing w:after="180" w:line="360" w:lineRule="atLeast"/>
        <w:ind w:firstLine="720"/>
        <w:jc w:val="both"/>
        <w:rPr>
          <w:rFonts w:ascii="Tahoma" w:eastAsia="Times New Roman" w:hAnsi="Tahoma" w:cs="Tahoma"/>
          <w:color w:val="4A4A4A"/>
          <w:sz w:val="15"/>
          <w:szCs w:val="15"/>
          <w:lang w:eastAsia="ru-RU"/>
        </w:rPr>
      </w:pPr>
      <w:r w:rsidRPr="004566B9">
        <w:rPr>
          <w:rFonts w:ascii="Tahoma" w:eastAsia="Times New Roman" w:hAnsi="Tahoma" w:cs="Tahoma"/>
          <w:b/>
          <w:bCs/>
          <w:color w:val="4A4A4A"/>
          <w:sz w:val="15"/>
          <w:szCs w:val="15"/>
          <w:lang w:val="uk-UA" w:eastAsia="ru-RU"/>
        </w:rPr>
        <w:t>ВИРІШИЛА:</w:t>
      </w:r>
    </w:p>
    <w:p w:rsidR="004566B9" w:rsidRPr="004566B9" w:rsidRDefault="004566B9" w:rsidP="004566B9">
      <w:pPr>
        <w:shd w:val="clear" w:color="auto" w:fill="FFFFFF"/>
        <w:spacing w:after="180" w:line="360" w:lineRule="atLeast"/>
        <w:ind w:firstLine="720"/>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 </w:t>
      </w:r>
    </w:p>
    <w:p w:rsidR="004566B9" w:rsidRPr="004566B9" w:rsidRDefault="004566B9" w:rsidP="004566B9">
      <w:pPr>
        <w:shd w:val="clear" w:color="auto" w:fill="FFFFFF"/>
        <w:spacing w:after="180" w:line="360" w:lineRule="atLeast"/>
        <w:ind w:firstLine="720"/>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1. Інформацію про хід виконання рішення сесії міської ради від 23.02.2012 р. № 1394 «Про затвердження Міської цільової комплексної програми «Розвитку фізичної культури та спорту на 2012-2016 роки» за 2012 рік прийняти до відома. (Додаток).</w:t>
      </w:r>
    </w:p>
    <w:p w:rsidR="004566B9" w:rsidRPr="004566B9" w:rsidRDefault="004566B9" w:rsidP="004566B9">
      <w:pPr>
        <w:shd w:val="clear" w:color="auto" w:fill="FFFFFF"/>
        <w:spacing w:after="180" w:line="360" w:lineRule="atLeast"/>
        <w:ind w:firstLine="720"/>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2. Продовжити виконання заходів у 2013 році.</w:t>
      </w:r>
    </w:p>
    <w:p w:rsidR="004566B9" w:rsidRPr="004566B9" w:rsidRDefault="004566B9" w:rsidP="004566B9">
      <w:pPr>
        <w:shd w:val="clear" w:color="auto" w:fill="FFFFFF"/>
        <w:spacing w:after="180" w:line="360" w:lineRule="atLeast"/>
        <w:ind w:firstLine="709"/>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3. Контроль за виконанням даного рішення покласти на постійну комісію міськради</w:t>
      </w:r>
      <w:r w:rsidRPr="004566B9">
        <w:rPr>
          <w:rFonts w:ascii="Tahoma" w:eastAsia="Times New Roman" w:hAnsi="Tahoma" w:cs="Tahoma"/>
          <w:color w:val="4A4A4A"/>
          <w:sz w:val="15"/>
          <w:lang w:eastAsia="ru-RU"/>
        </w:rPr>
        <w:t> </w:t>
      </w:r>
      <w:r w:rsidRPr="004566B9">
        <w:rPr>
          <w:rFonts w:ascii="Tahoma" w:eastAsia="Times New Roman" w:hAnsi="Tahoma" w:cs="Tahoma"/>
          <w:color w:val="4A4A4A"/>
          <w:sz w:val="15"/>
          <w:szCs w:val="15"/>
          <w:lang w:val="uk-UA" w:eastAsia="ru-RU"/>
        </w:rPr>
        <w:t>з гуманітарних питань</w:t>
      </w:r>
      <w:r w:rsidRPr="004566B9">
        <w:rPr>
          <w:rFonts w:ascii="Tahoma" w:eastAsia="Times New Roman" w:hAnsi="Tahoma" w:cs="Tahoma"/>
          <w:color w:val="4A4A4A"/>
          <w:sz w:val="15"/>
          <w:szCs w:val="15"/>
          <w:lang w:eastAsia="ru-RU"/>
        </w:rPr>
        <w:t>:</w:t>
      </w:r>
      <w:r w:rsidRPr="004566B9">
        <w:rPr>
          <w:rFonts w:ascii="Tahoma" w:eastAsia="Times New Roman" w:hAnsi="Tahoma" w:cs="Tahoma"/>
          <w:color w:val="4A4A4A"/>
          <w:sz w:val="15"/>
          <w:lang w:val="uk-UA" w:eastAsia="ru-RU"/>
        </w:rPr>
        <w:t> </w:t>
      </w:r>
      <w:r w:rsidRPr="004566B9">
        <w:rPr>
          <w:rFonts w:ascii="Tahoma" w:eastAsia="Times New Roman" w:hAnsi="Tahoma" w:cs="Tahoma"/>
          <w:color w:val="4A4A4A"/>
          <w:sz w:val="15"/>
          <w:szCs w:val="15"/>
          <w:lang w:val="uk-UA" w:eastAsia="ru-RU"/>
        </w:rPr>
        <w:t>освіти, культури, духовності, спорту, молодіжної політики</w:t>
      </w:r>
    </w:p>
    <w:p w:rsidR="004566B9" w:rsidRPr="004566B9" w:rsidRDefault="004566B9" w:rsidP="004566B9">
      <w:pPr>
        <w:shd w:val="clear" w:color="auto" w:fill="FFFFFF"/>
        <w:spacing w:after="180" w:line="360" w:lineRule="atLeast"/>
        <w:ind w:firstLine="720"/>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 </w:t>
      </w:r>
    </w:p>
    <w:p w:rsidR="004566B9" w:rsidRPr="004566B9" w:rsidRDefault="004566B9" w:rsidP="004566B9">
      <w:pPr>
        <w:shd w:val="clear" w:color="auto" w:fill="FFFFFF"/>
        <w:spacing w:after="180" w:line="360" w:lineRule="atLeast"/>
        <w:ind w:firstLine="720"/>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 </w:t>
      </w:r>
    </w:p>
    <w:p w:rsidR="004566B9" w:rsidRPr="004566B9" w:rsidRDefault="004566B9" w:rsidP="004566B9">
      <w:pPr>
        <w:shd w:val="clear" w:color="auto" w:fill="FFFFFF"/>
        <w:spacing w:after="360" w:line="360" w:lineRule="atLeast"/>
        <w:ind w:firstLine="720"/>
        <w:jc w:val="both"/>
        <w:rPr>
          <w:rFonts w:ascii="Tahoma" w:eastAsia="Times New Roman" w:hAnsi="Tahoma" w:cs="Tahoma"/>
          <w:color w:val="4A4A4A"/>
          <w:sz w:val="15"/>
          <w:szCs w:val="15"/>
          <w:lang w:eastAsia="ru-RU"/>
        </w:rPr>
      </w:pPr>
      <w:r w:rsidRPr="004566B9">
        <w:rPr>
          <w:rFonts w:ascii="Tahoma" w:eastAsia="Times New Roman" w:hAnsi="Tahoma" w:cs="Tahoma"/>
          <w:b/>
          <w:bCs/>
          <w:color w:val="4A4A4A"/>
          <w:sz w:val="15"/>
          <w:szCs w:val="15"/>
          <w:lang w:val="uk-UA" w:eastAsia="ru-RU"/>
        </w:rPr>
        <w:t>Міський голова                                                  </w:t>
      </w:r>
      <w:r w:rsidRPr="004566B9">
        <w:rPr>
          <w:rFonts w:ascii="Tahoma" w:eastAsia="Times New Roman" w:hAnsi="Tahoma" w:cs="Tahoma"/>
          <w:b/>
          <w:bCs/>
          <w:color w:val="4A4A4A"/>
          <w:sz w:val="15"/>
          <w:lang w:val="uk-UA" w:eastAsia="ru-RU"/>
        </w:rPr>
        <w:t> </w:t>
      </w:r>
      <w:r w:rsidRPr="004566B9">
        <w:rPr>
          <w:rFonts w:ascii="Tahoma" w:eastAsia="Times New Roman" w:hAnsi="Tahoma" w:cs="Tahoma"/>
          <w:b/>
          <w:bCs/>
          <w:color w:val="4A4A4A"/>
          <w:sz w:val="15"/>
          <w:szCs w:val="15"/>
          <w:lang w:val="uk-UA" w:eastAsia="ru-RU"/>
        </w:rPr>
        <w:t>                         </w:t>
      </w:r>
      <w:r w:rsidRPr="004566B9">
        <w:rPr>
          <w:rFonts w:ascii="Tahoma" w:eastAsia="Times New Roman" w:hAnsi="Tahoma" w:cs="Tahoma"/>
          <w:b/>
          <w:bCs/>
          <w:color w:val="4A4A4A"/>
          <w:sz w:val="15"/>
          <w:lang w:val="uk-UA" w:eastAsia="ru-RU"/>
        </w:rPr>
        <w:t> </w:t>
      </w:r>
      <w:r w:rsidRPr="004566B9">
        <w:rPr>
          <w:rFonts w:ascii="Tahoma" w:eastAsia="Times New Roman" w:hAnsi="Tahoma" w:cs="Tahoma"/>
          <w:b/>
          <w:bCs/>
          <w:color w:val="4A4A4A"/>
          <w:sz w:val="15"/>
          <w:szCs w:val="15"/>
          <w:lang w:val="uk-UA" w:eastAsia="ru-RU"/>
        </w:rPr>
        <w:t>       В.В.Казаков</w:t>
      </w:r>
    </w:p>
    <w:p w:rsidR="004566B9" w:rsidRPr="004566B9" w:rsidRDefault="004566B9" w:rsidP="004566B9">
      <w:pPr>
        <w:shd w:val="clear" w:color="auto" w:fill="FFFFFF"/>
        <w:spacing w:after="180" w:line="360" w:lineRule="atLeast"/>
        <w:ind w:left="6663"/>
        <w:jc w:val="right"/>
        <w:rPr>
          <w:rFonts w:ascii="Tahoma" w:eastAsia="Times New Roman" w:hAnsi="Tahoma" w:cs="Tahoma"/>
          <w:color w:val="4A4A4A"/>
          <w:sz w:val="15"/>
          <w:szCs w:val="15"/>
          <w:lang w:eastAsia="ru-RU"/>
        </w:rPr>
      </w:pPr>
      <w:r w:rsidRPr="004566B9">
        <w:rPr>
          <w:rFonts w:ascii="Tahoma" w:eastAsia="Times New Roman" w:hAnsi="Tahoma" w:cs="Tahoma"/>
          <w:i/>
          <w:iCs/>
          <w:color w:val="4A4A4A"/>
          <w:sz w:val="15"/>
          <w:lang w:eastAsia="ru-RU"/>
        </w:rPr>
        <w:t>Додаток</w:t>
      </w:r>
    </w:p>
    <w:p w:rsidR="004566B9" w:rsidRPr="004566B9" w:rsidRDefault="004566B9" w:rsidP="004566B9">
      <w:pPr>
        <w:shd w:val="clear" w:color="auto" w:fill="FFFFFF"/>
        <w:spacing w:after="180" w:line="360" w:lineRule="atLeast"/>
        <w:jc w:val="right"/>
        <w:rPr>
          <w:rFonts w:ascii="Tahoma" w:eastAsia="Times New Roman" w:hAnsi="Tahoma" w:cs="Tahoma"/>
          <w:color w:val="4A4A4A"/>
          <w:sz w:val="15"/>
          <w:szCs w:val="15"/>
          <w:lang w:eastAsia="ru-RU"/>
        </w:rPr>
      </w:pPr>
      <w:r w:rsidRPr="004566B9">
        <w:rPr>
          <w:rFonts w:ascii="Tahoma" w:eastAsia="Times New Roman" w:hAnsi="Tahoma" w:cs="Tahoma"/>
          <w:i/>
          <w:iCs/>
          <w:color w:val="4A4A4A"/>
          <w:sz w:val="15"/>
          <w:lang w:eastAsia="ru-RU"/>
        </w:rPr>
        <w:t>до рішення  57–ї (чергової) сесії</w:t>
      </w:r>
    </w:p>
    <w:p w:rsidR="004566B9" w:rsidRPr="004566B9" w:rsidRDefault="004566B9" w:rsidP="004566B9">
      <w:pPr>
        <w:shd w:val="clear" w:color="auto" w:fill="FFFFFF"/>
        <w:spacing w:after="180" w:line="360" w:lineRule="atLeast"/>
        <w:jc w:val="right"/>
        <w:rPr>
          <w:rFonts w:ascii="Tahoma" w:eastAsia="Times New Roman" w:hAnsi="Tahoma" w:cs="Tahoma"/>
          <w:color w:val="4A4A4A"/>
          <w:sz w:val="15"/>
          <w:szCs w:val="15"/>
          <w:lang w:eastAsia="ru-RU"/>
        </w:rPr>
      </w:pPr>
      <w:r w:rsidRPr="004566B9">
        <w:rPr>
          <w:rFonts w:ascii="Tahoma" w:eastAsia="Times New Roman" w:hAnsi="Tahoma" w:cs="Tahoma"/>
          <w:i/>
          <w:iCs/>
          <w:color w:val="4A4A4A"/>
          <w:sz w:val="15"/>
          <w:lang w:eastAsia="ru-RU"/>
        </w:rPr>
        <w:lastRenderedPageBreak/>
        <w:t>міської ради</w:t>
      </w:r>
    </w:p>
    <w:p w:rsidR="004566B9" w:rsidRPr="004566B9" w:rsidRDefault="004566B9" w:rsidP="004566B9">
      <w:pPr>
        <w:shd w:val="clear" w:color="auto" w:fill="FFFFFF"/>
        <w:spacing w:after="180" w:line="360" w:lineRule="atLeast"/>
        <w:jc w:val="right"/>
        <w:rPr>
          <w:rFonts w:ascii="Tahoma" w:eastAsia="Times New Roman" w:hAnsi="Tahoma" w:cs="Tahoma"/>
          <w:color w:val="4A4A4A"/>
          <w:sz w:val="15"/>
          <w:szCs w:val="15"/>
          <w:lang w:eastAsia="ru-RU"/>
        </w:rPr>
      </w:pPr>
      <w:r w:rsidRPr="004566B9">
        <w:rPr>
          <w:rFonts w:ascii="Tahoma" w:eastAsia="Times New Roman" w:hAnsi="Tahoma" w:cs="Tahoma"/>
          <w:i/>
          <w:iCs/>
          <w:color w:val="4A4A4A"/>
          <w:sz w:val="15"/>
          <w:lang w:eastAsia="ru-RU"/>
        </w:rPr>
        <w:t>від 21.02.2013р. № 2466</w:t>
      </w:r>
    </w:p>
    <w:p w:rsidR="004566B9" w:rsidRPr="004566B9" w:rsidRDefault="004566B9" w:rsidP="004566B9">
      <w:pPr>
        <w:shd w:val="clear" w:color="auto" w:fill="FFFFFF"/>
        <w:spacing w:after="180" w:line="360" w:lineRule="atLeast"/>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 </w:t>
      </w:r>
    </w:p>
    <w:p w:rsidR="004566B9" w:rsidRPr="004566B9" w:rsidRDefault="004566B9" w:rsidP="004566B9">
      <w:pPr>
        <w:shd w:val="clear" w:color="auto" w:fill="FFFFFF"/>
        <w:spacing w:after="180" w:line="360" w:lineRule="atLeast"/>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 </w:t>
      </w:r>
    </w:p>
    <w:p w:rsidR="004566B9" w:rsidRPr="004566B9" w:rsidRDefault="004566B9" w:rsidP="004566B9">
      <w:pPr>
        <w:shd w:val="clear" w:color="auto" w:fill="FFFFFF"/>
        <w:spacing w:after="180" w:line="360" w:lineRule="atLeast"/>
        <w:jc w:val="center"/>
        <w:rPr>
          <w:rFonts w:ascii="Tahoma" w:eastAsia="Times New Roman" w:hAnsi="Tahoma" w:cs="Tahoma"/>
          <w:color w:val="4A4A4A"/>
          <w:sz w:val="15"/>
          <w:szCs w:val="15"/>
          <w:lang w:eastAsia="ru-RU"/>
        </w:rPr>
      </w:pPr>
      <w:r w:rsidRPr="004566B9">
        <w:rPr>
          <w:rFonts w:ascii="Tahoma" w:eastAsia="Times New Roman" w:hAnsi="Tahoma" w:cs="Tahoma"/>
          <w:b/>
          <w:bCs/>
          <w:color w:val="4A4A4A"/>
          <w:sz w:val="15"/>
          <w:lang w:val="uk-UA" w:eastAsia="ru-RU"/>
        </w:rPr>
        <w:t>ЩОРІЧНИЙ (ПРОМІЖНИЙ) ЗВІТ</w:t>
      </w:r>
    </w:p>
    <w:p w:rsidR="004566B9" w:rsidRPr="004566B9" w:rsidRDefault="004566B9" w:rsidP="004566B9">
      <w:pPr>
        <w:shd w:val="clear" w:color="auto" w:fill="FFFFFF"/>
        <w:spacing w:after="180" w:line="360" w:lineRule="atLeast"/>
        <w:ind w:left="-180" w:firstLine="180"/>
        <w:jc w:val="center"/>
        <w:rPr>
          <w:rFonts w:ascii="Tahoma" w:eastAsia="Times New Roman" w:hAnsi="Tahoma" w:cs="Tahoma"/>
          <w:color w:val="4A4A4A"/>
          <w:sz w:val="15"/>
          <w:szCs w:val="15"/>
          <w:lang w:eastAsia="ru-RU"/>
        </w:rPr>
      </w:pPr>
      <w:r w:rsidRPr="004566B9">
        <w:rPr>
          <w:rFonts w:ascii="Tahoma" w:eastAsia="Times New Roman" w:hAnsi="Tahoma" w:cs="Tahoma"/>
          <w:b/>
          <w:bCs/>
          <w:color w:val="4A4A4A"/>
          <w:sz w:val="15"/>
          <w:lang w:val="uk-UA" w:eastAsia="ru-RU"/>
        </w:rPr>
        <w:t>про хід виконання у 2012 році міської цільової комплексної програми</w:t>
      </w:r>
    </w:p>
    <w:p w:rsidR="004566B9" w:rsidRPr="004566B9" w:rsidRDefault="004566B9" w:rsidP="004566B9">
      <w:pPr>
        <w:shd w:val="clear" w:color="auto" w:fill="FFFFFF"/>
        <w:spacing w:after="180" w:line="360" w:lineRule="atLeast"/>
        <w:ind w:left="-180" w:firstLine="180"/>
        <w:jc w:val="center"/>
        <w:rPr>
          <w:rFonts w:ascii="Tahoma" w:eastAsia="Times New Roman" w:hAnsi="Tahoma" w:cs="Tahoma"/>
          <w:color w:val="4A4A4A"/>
          <w:sz w:val="15"/>
          <w:szCs w:val="15"/>
          <w:lang w:eastAsia="ru-RU"/>
        </w:rPr>
      </w:pPr>
      <w:r w:rsidRPr="004566B9">
        <w:rPr>
          <w:rFonts w:ascii="Tahoma" w:eastAsia="Times New Roman" w:hAnsi="Tahoma" w:cs="Tahoma"/>
          <w:b/>
          <w:bCs/>
          <w:color w:val="4A4A4A"/>
          <w:sz w:val="15"/>
          <w:lang w:val="uk-UA" w:eastAsia="ru-RU"/>
        </w:rPr>
        <w:t>“Розвитку фізичної культури та спорту» на 2012-2016 роки</w:t>
      </w:r>
    </w:p>
    <w:p w:rsidR="004566B9" w:rsidRPr="004566B9" w:rsidRDefault="004566B9" w:rsidP="004566B9">
      <w:pPr>
        <w:shd w:val="clear" w:color="auto" w:fill="FFFFFF"/>
        <w:spacing w:after="180" w:line="360" w:lineRule="atLeast"/>
        <w:ind w:left="-180" w:firstLine="180"/>
        <w:rPr>
          <w:rFonts w:ascii="Tahoma" w:eastAsia="Times New Roman" w:hAnsi="Tahoma" w:cs="Tahoma"/>
          <w:color w:val="4A4A4A"/>
          <w:sz w:val="15"/>
          <w:szCs w:val="15"/>
          <w:lang w:eastAsia="ru-RU"/>
        </w:rPr>
      </w:pPr>
      <w:r w:rsidRPr="004566B9">
        <w:rPr>
          <w:rFonts w:ascii="Tahoma" w:eastAsia="Times New Roman" w:hAnsi="Tahoma" w:cs="Tahoma"/>
          <w:color w:val="4A4A4A"/>
          <w:sz w:val="16"/>
          <w:szCs w:val="16"/>
          <w:lang w:val="uk-UA" w:eastAsia="ru-RU"/>
        </w:rPr>
        <w:t> </w:t>
      </w:r>
    </w:p>
    <w:p w:rsidR="004566B9" w:rsidRPr="004566B9" w:rsidRDefault="004566B9" w:rsidP="004566B9">
      <w:pPr>
        <w:shd w:val="clear" w:color="auto" w:fill="FFFFFF"/>
        <w:spacing w:after="180" w:line="360" w:lineRule="atLeast"/>
        <w:ind w:firstLine="426"/>
        <w:rPr>
          <w:rFonts w:ascii="Tahoma" w:eastAsia="Times New Roman" w:hAnsi="Tahoma" w:cs="Tahoma"/>
          <w:color w:val="4A4A4A"/>
          <w:sz w:val="15"/>
          <w:szCs w:val="15"/>
          <w:lang w:eastAsia="ru-RU"/>
        </w:rPr>
      </w:pPr>
      <w:r w:rsidRPr="004566B9">
        <w:rPr>
          <w:rFonts w:ascii="Tahoma" w:eastAsia="Times New Roman" w:hAnsi="Tahoma" w:cs="Tahoma"/>
          <w:b/>
          <w:bCs/>
          <w:color w:val="4A4A4A"/>
          <w:sz w:val="15"/>
          <w:szCs w:val="15"/>
          <w:lang w:val="uk-UA" w:eastAsia="ru-RU"/>
        </w:rPr>
        <w:t>1. Основні дані.</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З метою популяризації здорового способу життя, створення умов для забезпечення оптимальної рухової активності мешканців міста впродовж усього життя, максимальної реалізації здібностей обдарованої молоді у дитячо-юнацькому, резервному спорті та спорті вищих досягнень, рішенням Сєвєродонецької міської ради від 23 лютого 2012 року № 1394 було затверджено Міську </w:t>
      </w:r>
      <w:r w:rsidRPr="004566B9">
        <w:rPr>
          <w:rFonts w:ascii="Tahoma" w:eastAsia="Times New Roman" w:hAnsi="Tahoma" w:cs="Tahoma"/>
          <w:color w:val="4A4A4A"/>
          <w:sz w:val="15"/>
          <w:lang w:val="uk-UA" w:eastAsia="ru-RU"/>
        </w:rPr>
        <w:t> </w:t>
      </w:r>
      <w:r w:rsidRPr="004566B9">
        <w:rPr>
          <w:rFonts w:ascii="Tahoma" w:eastAsia="Times New Roman" w:hAnsi="Tahoma" w:cs="Tahoma"/>
          <w:color w:val="4A4A4A"/>
          <w:sz w:val="15"/>
          <w:szCs w:val="15"/>
          <w:lang w:val="uk-UA" w:eastAsia="ru-RU"/>
        </w:rPr>
        <w:t>цільову комплексну програму «Розвитку фізичної культури та спорту» на 2012-2016 роки. Виконавцями даної програми є відділи міської ради, в тому числі відділ у справах сім’ї, молоді та спорту, відділ освіти, відділ по роботі з засобами масової інформації а також ДЮСШ міста, професійно-технічні заклади, об’єднання підліткових клубів «Юність», міські фізкультурно-спортивні організації та підприємства, установи і організації.</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6"/>
          <w:szCs w:val="16"/>
          <w:lang w:val="uk-UA" w:eastAsia="ru-RU"/>
        </w:rPr>
        <w:t> </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b/>
          <w:bCs/>
          <w:color w:val="4A4A4A"/>
          <w:sz w:val="15"/>
          <w:szCs w:val="15"/>
          <w:lang w:val="uk-UA" w:eastAsia="ru-RU"/>
        </w:rPr>
        <w:t>2. Виконання завдань і заходів.</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Серед основних завдань і заходів програми “Розвитку фізичної культури та спорту» є проведення фізкультурно-оздоровчої та спортивно-масової роботи, розвиток масового спорту, удосконалення системи дитячо-юнацького спорту, створення умов для розвитку індивідуальних здібностей спортсменів на етапах багаторічної підготовки, реконструкція існуючих спортивних споруд, належне їх обладнання та використання. В рамках їх реалізації була проведена наступна робота:</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В місті культивується 21 вид спорту, 18 з них – в ДЮСШ міста.</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Збережена мережа дитячо-юнацьких спортивних шкіл. Продовжують функціонувати три ДЮСШ відділу у справах сім’ї, молоді та спорту, ДЮСШ плавання відділу освіти і ДЮСТШ ВВС «Садко». Всі спортивні школи мають власну спортивну базу, яка нараховує 10 спортивних споруд.</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Створені необхідні умови для занять. Щороку проводиться моніторинг стану матеріально-технічного забезпечення дитячо-юнацьких спортивних шкіл. Проводиться робота щодо забезпечення їх необхідним спортивним інвентарем та обладнанням для проведення занять за рахунок як бюджетних, так і позабюджетних коштів.</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 xml:space="preserve">Постійно проводиться робота щодо залучення дітей та підлітків до регулярних занять фізичною культурою і спортом. Підготовка спортсменів здійснюється на високому професійному рівні. Роботу проводять 60 штатних тренерів, 8 з них мають звання «Заслужений тренер України». ДЮСШ активно співпрацюють з загальноосвітніми закладами міста, відбирають талановитих дітей для </w:t>
      </w:r>
      <w:r w:rsidRPr="004566B9">
        <w:rPr>
          <w:rFonts w:ascii="Tahoma" w:eastAsia="Times New Roman" w:hAnsi="Tahoma" w:cs="Tahoma"/>
          <w:color w:val="4A4A4A"/>
          <w:sz w:val="15"/>
          <w:szCs w:val="15"/>
          <w:lang w:val="uk-UA" w:eastAsia="ru-RU"/>
        </w:rPr>
        <w:lastRenderedPageBreak/>
        <w:t>занять спортом. До регулярних занять в спортивних групах ДЮСШ залучено 2556 юнаків та дівчат у віці до 18 років. Всі заняття в спортивних групах проводяться на безоплатній основі.</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Забезпечуються умови для підвищення рівня професійної компетентності адміністративно-управлінського і тренерсько-викладацького складу. В 2012 році свою кваліфікацію підвищили 5 осіб.</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Відділом щороку визначається потреба в тренерських кадрах. Заявки щодо потреби тренерів подавались: до міського Центру зайнятості, в засоби масової інформації і до обласного управління у справах сім’ї, молоді та спорту.</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Продовжувалась робота щодо вдосконалення програмно-методичного, інформаційно-пропагандистського та медичного забезпечення фізичної культури та спорту. Всі спортивні школи забезпечені базовими програмами за видами спорту. Заступниками директорів з учбово-тренувальної роботи та тренерсько-викладацьким складом постійно здійснюється моніторинг відповідних сайтів щодо оновлення програм та появи нових рекомендацій які вони згодом застосують в своїй роботі. В усіх ДЮСШ обладнані інформаційні дошки на яких висвітлюється спортивне життя школи, оформлені стенди з фотографіями кращих спортсменів і тренерів.</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Всі дитячо-юнацькі спортивні школи мають обладнані медичні кабінети і штатних медичних працівників, які здійснюють постійний контроль за санітарним станом спортивних споруд, обов’язковий медичний контроль за проведенням навчально-тренувальної роботи, планово проводять диспансерне обстеження учнів і в разі необхідності нададуть першу медичну допомогу.</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Відділом у справах сім’ї, молоді та спорту забезпечується належний контроль за діяльністю підвідомчих дитячо-юнацьких спортивних шкіл, здійснюється комплексний аналіз ефективності їх діяльності, аналіз основних показників розвитку фізичної культури і спорту, визначаються результати роботи спортивних організацій міста.</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Згідно з Єдиним календарним планом спортивно-масових заходів м. Сєвєродонецька, протягом 2012 року за кошти міського бюджету збірні команди міста взяли участь в 42 змаганнях обласного рівня. Відділом у справах сім’ї, молоді та спорту проведено 24 міських спортивних заходи, з них 12 змагань спартакіади школярів, 8 змагань спартакіади учнів професійно-технічних навчальних закладів і 4 першості міста за видами спорту. Крім цього багато міських спортивно-масових заходів організовуються і проводяться безоплатно або за фінансової підтримки спонсорів.</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З метою підвищення привабливості спортивних заходів, під час проведення найбільш масових заходів організовуються показові виступи спортсменів, творчі номери, запрошуються вболівальники та глядачі, забезпечується всебічне висвітлення їх проведення.</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Протягом року збірні команди міста та окремі спортсмени з різних видів спорту взяли участь в більш ніж 30 змаганнях найвищого рангу. Вони ставали переможцями і призерами Кубків та Чемпіонатів України, Європи і Світу.</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Продовжувалась робота з підтримки та утриманню команди майстрів з волейболу. Міська рада і керівники провідних промислових підприємств, установ та організацій роблять все можливе, щоб гравці команди мали належні умови як для тренувань і удосконалення спортивної майстерності, так і належні побутові умови.</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За результатами виступів у 2012 році 3 спортсмени міста увійшли до основного складу збірних команд України з підводного спорту і легкої атлетики. 8 спортсменів стали кандидатами до збірної команди України з підводного спорту, легкої атлетики та плавання.</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lastRenderedPageBreak/>
        <w:t>У 2012 році норматив МСМК виконав 1 спортсмен; МС України – 3 спортсмени; КМС – 8 спортсменів; І спортивний розряд – 25 спортсменів; ІІ, ІІІ та юнацькі розряди виконали 636 спортсменів (на 73 особи більше, ніж у 2011 році).</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За результатами виступів спортсменів у найважливіших змаганнях року визначаються кращі спортсмени та тренери міста. Проводяться урочисті заходи щодо ушанування кращих спортсменів, тренерів та фахівців фізичної культури міста. У 2012 році свято-ушанування спортсменів міста «Спортивна осінь» було проведено 18 жовтня 2012 року. Нагороджено 91 особу.</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Забезпечується всебічне висвітлення спортивного життя міста. Участь спортсменів в змаганнях різного рівня, проведення міських спортивних заходів широко висвітлювались в засобах масової інформації (міській пресі, місцевому телебаченні, радіо).</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Продовжувалась робота з підтримки підприємництва у сфері фізичної культури і спорту. Згідно оформлених ліцензій в місті працюють 5 осіб-підприємців, які займаються організацією та проведенням занять професіоналів та любителів спорту. Відділ співпрацює з цими особами з питань проведення роз’яснювальної роботи, надання інформаційно-методичної підтримки, присвоєння спортивних розрядів, надання спортивних споруд для проведення спортивних заходів. Також при проведенні міських спортивно-видовищних або урочистих заходів, залучаємо їх для показових виступів та нагородження за досягнуті спортивні результати.</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Відділом у справах сім’ї, молоді та спорту постійно ведеться активна пропаганда необхідності занять фізичною культурою і спортом за допомогою друкованих та телевізійних ЗМІ, мережі Інтернет та соціальної реклами. При проведенні міських спортивних заходів організовуються зустрічі з провідними спортсменами та ветеранами спорту. На період з 01 липня по 31 грудня 2012р. відділом було розміщено 2 банери з рекламою соціального характеру з пропагандою спорту, активного відпочинку та здорового способу життя за наступними адресами: одна площина – пр. Космонавтів, район будинку № 4-а по вул. Вілєсова і </w:t>
      </w:r>
      <w:r w:rsidRPr="004566B9">
        <w:rPr>
          <w:rFonts w:ascii="Tahoma" w:eastAsia="Times New Roman" w:hAnsi="Tahoma" w:cs="Tahoma"/>
          <w:color w:val="4A4A4A"/>
          <w:sz w:val="15"/>
          <w:lang w:val="uk-UA" w:eastAsia="ru-RU"/>
        </w:rPr>
        <w:t> </w:t>
      </w:r>
      <w:r w:rsidRPr="004566B9">
        <w:rPr>
          <w:rFonts w:ascii="Tahoma" w:eastAsia="Times New Roman" w:hAnsi="Tahoma" w:cs="Tahoma"/>
          <w:color w:val="4A4A4A"/>
          <w:sz w:val="15"/>
          <w:szCs w:val="15"/>
          <w:lang w:val="uk-UA" w:eastAsia="ru-RU"/>
        </w:rPr>
        <w:t>одна площина – перехрестя щ. Будівельників та вул. Вілєсова.</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Продовжувалась робота з навчання дітей плаванню. Учні 2-3 класів відвідали 18 обов’язкових уроків плавання в басейнах ДЮСШ-1 відділу освіти і «Садко».</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Фізкультурно-оздоровчу і виховну роботу за місцем проживання в позанавчальний час здійснює Сєвєродонецький дитячо-юнацький комплекс «Юність», підпорядкований міському відділу освіти. У 2012 році фізкультурно-оздоровчу роботу проводили 6 клубів за місцем проживання. Згідно даних річної статистичної звітності їх відвідують 343 особи віком від 6 до 18 років. ДЮК «Юність» має власну спортивну базу</w:t>
      </w:r>
      <w:r w:rsidRPr="004566B9">
        <w:rPr>
          <w:rFonts w:ascii="Tahoma" w:eastAsia="Times New Roman" w:hAnsi="Tahoma" w:cs="Tahoma"/>
          <w:color w:val="4A4A4A"/>
          <w:sz w:val="15"/>
          <w:szCs w:val="15"/>
          <w:lang w:eastAsia="ru-RU"/>
        </w:rPr>
        <w:t>:</w:t>
      </w:r>
      <w:r w:rsidRPr="004566B9">
        <w:rPr>
          <w:rFonts w:ascii="Tahoma" w:eastAsia="Times New Roman" w:hAnsi="Tahoma" w:cs="Tahoma"/>
          <w:color w:val="4A4A4A"/>
          <w:sz w:val="15"/>
          <w:lang w:val="uk-UA" w:eastAsia="ru-RU"/>
        </w:rPr>
        <w:t> </w:t>
      </w:r>
      <w:r w:rsidRPr="004566B9">
        <w:rPr>
          <w:rFonts w:ascii="Tahoma" w:eastAsia="Times New Roman" w:hAnsi="Tahoma" w:cs="Tahoma"/>
          <w:color w:val="4A4A4A"/>
          <w:sz w:val="15"/>
          <w:szCs w:val="15"/>
          <w:lang w:val="uk-UA" w:eastAsia="ru-RU"/>
        </w:rPr>
        <w:t>зал боротьби «Самбо» і 2 пристосованих приміщення, 1 з яких – з тренажерним обладнанням.</w:t>
      </w:r>
      <w:r w:rsidRPr="004566B9">
        <w:rPr>
          <w:rFonts w:ascii="Tahoma" w:eastAsia="Times New Roman" w:hAnsi="Tahoma" w:cs="Tahoma"/>
          <w:color w:val="4A4A4A"/>
          <w:sz w:val="20"/>
          <w:lang w:val="uk-UA" w:eastAsia="ru-RU"/>
        </w:rPr>
        <w:t> </w:t>
      </w:r>
      <w:r w:rsidRPr="004566B9">
        <w:rPr>
          <w:rFonts w:ascii="Tahoma" w:eastAsia="Times New Roman" w:hAnsi="Tahoma" w:cs="Tahoma"/>
          <w:color w:val="4A4A4A"/>
          <w:sz w:val="15"/>
          <w:szCs w:val="15"/>
          <w:lang w:val="uk-UA" w:eastAsia="ru-RU"/>
        </w:rPr>
        <w:t>Приміщення клубів утримуються в належному стані і використовуються за призначенням.</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Протягом 2012 року в С ДЮК «Юність» були організовані та проведені 68 конкурсно-розважальних програм та різноманітних спортивних змагань серед яких:</w:t>
      </w:r>
    </w:p>
    <w:p w:rsidR="004566B9" w:rsidRPr="004566B9" w:rsidRDefault="004566B9" w:rsidP="004566B9">
      <w:pPr>
        <w:shd w:val="clear" w:color="auto" w:fill="FFFFFF"/>
        <w:spacing w:after="180" w:line="360" w:lineRule="atLeast"/>
        <w:ind w:left="786" w:hanging="360"/>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w:t>
      </w:r>
      <w:r w:rsidRPr="004566B9">
        <w:rPr>
          <w:rFonts w:ascii="Times New Roman" w:eastAsia="Times New Roman" w:hAnsi="Times New Roman" w:cs="Times New Roman"/>
          <w:color w:val="4A4A4A"/>
          <w:sz w:val="14"/>
          <w:szCs w:val="14"/>
          <w:lang w:val="uk-UA" w:eastAsia="ru-RU"/>
        </w:rPr>
        <w:t>      </w:t>
      </w:r>
      <w:r w:rsidRPr="004566B9">
        <w:rPr>
          <w:rFonts w:ascii="Times New Roman" w:eastAsia="Times New Roman" w:hAnsi="Times New Roman" w:cs="Times New Roman"/>
          <w:color w:val="4A4A4A"/>
          <w:sz w:val="14"/>
          <w:lang w:val="uk-UA" w:eastAsia="ru-RU"/>
        </w:rPr>
        <w:t> </w:t>
      </w:r>
      <w:r w:rsidRPr="004566B9">
        <w:rPr>
          <w:rFonts w:ascii="Tahoma" w:eastAsia="Times New Roman" w:hAnsi="Tahoma" w:cs="Tahoma"/>
          <w:color w:val="4A4A4A"/>
          <w:sz w:val="15"/>
          <w:szCs w:val="15"/>
          <w:lang w:val="uk-UA" w:eastAsia="ru-RU"/>
        </w:rPr>
        <w:t>спортивна програма присвячена Дню Захисника Вітчизни «Добрі молодці»;</w:t>
      </w:r>
    </w:p>
    <w:p w:rsidR="004566B9" w:rsidRPr="004566B9" w:rsidRDefault="004566B9" w:rsidP="004566B9">
      <w:pPr>
        <w:shd w:val="clear" w:color="auto" w:fill="FFFFFF"/>
        <w:spacing w:after="180" w:line="360" w:lineRule="atLeast"/>
        <w:ind w:left="786" w:hanging="360"/>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w:t>
      </w:r>
      <w:r w:rsidRPr="004566B9">
        <w:rPr>
          <w:rFonts w:ascii="Times New Roman" w:eastAsia="Times New Roman" w:hAnsi="Times New Roman" w:cs="Times New Roman"/>
          <w:color w:val="4A4A4A"/>
          <w:sz w:val="14"/>
          <w:szCs w:val="14"/>
          <w:lang w:val="uk-UA" w:eastAsia="ru-RU"/>
        </w:rPr>
        <w:t>      </w:t>
      </w:r>
      <w:r w:rsidRPr="004566B9">
        <w:rPr>
          <w:rFonts w:ascii="Times New Roman" w:eastAsia="Times New Roman" w:hAnsi="Times New Roman" w:cs="Times New Roman"/>
          <w:color w:val="4A4A4A"/>
          <w:sz w:val="14"/>
          <w:lang w:val="uk-UA" w:eastAsia="ru-RU"/>
        </w:rPr>
        <w:t> </w:t>
      </w:r>
      <w:r w:rsidRPr="004566B9">
        <w:rPr>
          <w:rFonts w:ascii="Tahoma" w:eastAsia="Times New Roman" w:hAnsi="Tahoma" w:cs="Tahoma"/>
          <w:color w:val="4A4A4A"/>
          <w:sz w:val="15"/>
          <w:szCs w:val="15"/>
          <w:lang w:val="uk-UA" w:eastAsia="ru-RU"/>
        </w:rPr>
        <w:t>спортивні змагання з армреслінгу «Богатирі «Юності»;</w:t>
      </w:r>
    </w:p>
    <w:p w:rsidR="004566B9" w:rsidRPr="004566B9" w:rsidRDefault="004566B9" w:rsidP="004566B9">
      <w:pPr>
        <w:shd w:val="clear" w:color="auto" w:fill="FFFFFF"/>
        <w:spacing w:after="180" w:line="360" w:lineRule="atLeast"/>
        <w:ind w:left="786" w:hanging="360"/>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w:t>
      </w:r>
      <w:r w:rsidRPr="004566B9">
        <w:rPr>
          <w:rFonts w:ascii="Times New Roman" w:eastAsia="Times New Roman" w:hAnsi="Times New Roman" w:cs="Times New Roman"/>
          <w:color w:val="4A4A4A"/>
          <w:sz w:val="14"/>
          <w:szCs w:val="14"/>
          <w:lang w:val="uk-UA" w:eastAsia="ru-RU"/>
        </w:rPr>
        <w:t>      </w:t>
      </w:r>
      <w:r w:rsidRPr="004566B9">
        <w:rPr>
          <w:rFonts w:ascii="Times New Roman" w:eastAsia="Times New Roman" w:hAnsi="Times New Roman" w:cs="Times New Roman"/>
          <w:color w:val="4A4A4A"/>
          <w:sz w:val="14"/>
          <w:lang w:val="uk-UA" w:eastAsia="ru-RU"/>
        </w:rPr>
        <w:t> </w:t>
      </w:r>
      <w:r w:rsidRPr="004566B9">
        <w:rPr>
          <w:rFonts w:ascii="Tahoma" w:eastAsia="Times New Roman" w:hAnsi="Tahoma" w:cs="Tahoma"/>
          <w:color w:val="4A4A4A"/>
          <w:sz w:val="15"/>
          <w:szCs w:val="15"/>
          <w:lang w:val="uk-UA" w:eastAsia="ru-RU"/>
        </w:rPr>
        <w:t>спортивні змагання «Шкіряний м’яч»;</w:t>
      </w:r>
    </w:p>
    <w:p w:rsidR="004566B9" w:rsidRPr="004566B9" w:rsidRDefault="004566B9" w:rsidP="004566B9">
      <w:pPr>
        <w:shd w:val="clear" w:color="auto" w:fill="FFFFFF"/>
        <w:spacing w:after="180" w:line="360" w:lineRule="atLeast"/>
        <w:ind w:left="786" w:hanging="360"/>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w:t>
      </w:r>
      <w:r w:rsidRPr="004566B9">
        <w:rPr>
          <w:rFonts w:ascii="Times New Roman" w:eastAsia="Times New Roman" w:hAnsi="Times New Roman" w:cs="Times New Roman"/>
          <w:color w:val="4A4A4A"/>
          <w:sz w:val="14"/>
          <w:szCs w:val="14"/>
          <w:lang w:val="uk-UA" w:eastAsia="ru-RU"/>
        </w:rPr>
        <w:t>      </w:t>
      </w:r>
      <w:r w:rsidRPr="004566B9">
        <w:rPr>
          <w:rFonts w:ascii="Times New Roman" w:eastAsia="Times New Roman" w:hAnsi="Times New Roman" w:cs="Times New Roman"/>
          <w:color w:val="4A4A4A"/>
          <w:sz w:val="14"/>
          <w:lang w:val="uk-UA" w:eastAsia="ru-RU"/>
        </w:rPr>
        <w:t> </w:t>
      </w:r>
      <w:r w:rsidRPr="004566B9">
        <w:rPr>
          <w:rFonts w:ascii="Tahoma" w:eastAsia="Times New Roman" w:hAnsi="Tahoma" w:cs="Tahoma"/>
          <w:color w:val="4A4A4A"/>
          <w:sz w:val="15"/>
          <w:szCs w:val="15"/>
          <w:lang w:val="uk-UA" w:eastAsia="ru-RU"/>
        </w:rPr>
        <w:t>шаховий турнір «Біла тура»;</w:t>
      </w:r>
    </w:p>
    <w:p w:rsidR="004566B9" w:rsidRPr="004566B9" w:rsidRDefault="004566B9" w:rsidP="004566B9">
      <w:pPr>
        <w:shd w:val="clear" w:color="auto" w:fill="FFFFFF"/>
        <w:spacing w:after="180" w:line="360" w:lineRule="atLeast"/>
        <w:ind w:left="786" w:hanging="360"/>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w:t>
      </w:r>
      <w:r w:rsidRPr="004566B9">
        <w:rPr>
          <w:rFonts w:ascii="Times New Roman" w:eastAsia="Times New Roman" w:hAnsi="Times New Roman" w:cs="Times New Roman"/>
          <w:color w:val="4A4A4A"/>
          <w:sz w:val="14"/>
          <w:szCs w:val="14"/>
          <w:lang w:val="uk-UA" w:eastAsia="ru-RU"/>
        </w:rPr>
        <w:t>      </w:t>
      </w:r>
      <w:r w:rsidRPr="004566B9">
        <w:rPr>
          <w:rFonts w:ascii="Times New Roman" w:eastAsia="Times New Roman" w:hAnsi="Times New Roman" w:cs="Times New Roman"/>
          <w:color w:val="4A4A4A"/>
          <w:sz w:val="14"/>
          <w:lang w:val="uk-UA" w:eastAsia="ru-RU"/>
        </w:rPr>
        <w:t> </w:t>
      </w:r>
      <w:r w:rsidRPr="004566B9">
        <w:rPr>
          <w:rFonts w:ascii="Tahoma" w:eastAsia="Times New Roman" w:hAnsi="Tahoma" w:cs="Tahoma"/>
          <w:color w:val="4A4A4A"/>
          <w:sz w:val="15"/>
          <w:szCs w:val="15"/>
          <w:lang w:val="uk-UA" w:eastAsia="ru-RU"/>
        </w:rPr>
        <w:t>шашковий турнір «Біле та чорне».</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В 2012 році створена міська громадська організація ветеранів спорту. Головою ради ветеранів обрано Журбу В.С.</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lastRenderedPageBreak/>
        <w:t>Невтішно виглядає ситуація з питання створення та відновлення колективів фізичної культури на підприємствах усіх форм власності. В зв’язку з тим, що більшість підприємств і організації міста знаходяться в приватній власності, щороку поступово скорочується штат інструкторів фізичної культури за місцем роботи громадян. В 2012 році скорочено 1 штатну одиницю інструктора в «Інституті Азотної промисловості і продуктів органічного синтезу» і 1 штатну одиницю інструктора в спортивному клубі «Хімік», який організує спортивно-масову роботу на Приватному підприємстві «Сєвєродонецьке об’єднання «Азот». На даний час фізкультурно-оздоровчу роботу у виробничій сфері проводять 5 штатних інструкторів фізкультури СК «Хімік». Сформовані оздоровчі групи, проводяться спортивні змагання, спартакіади. Робота СК «Хімік» повністю фінансується з коштів профспілкового комітету підприємства. Всі інші підприємства і організації міста не мають штатних фізкультурних працівників, фізкультурно-оздоровча робота організовується на громадських засадах. Вплинути на змінення цієї ситуації на краще відділ не може, бо це поза межами нашої компетенції.</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В місті створені сприятливі умови для занять всіх верств населення. Кожен мешканець міста, незважаючи на вік та фізичні можливості, має змогу реалізувати себе в тому виді спорту, якому він віддає перевагу. Для дорослого населення фізкультурно-оздоровчу роботу за місцем проживання організовують фізичні особи-підприємці, які згідно оформлених ліцензій проводили заняття з тенісу, фітнесу, бодібілдингу та фігурного катання на ковзанах. Для дітей працюють групи східних бойових мистецтв та спортивних танців. Заняття в цих групах відвідують близько 4000 мешканців міста.</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З ціллю злагодженої роботи спортивної галузі, відділом </w:t>
      </w:r>
      <w:r w:rsidRPr="004566B9">
        <w:rPr>
          <w:rFonts w:ascii="Tahoma" w:eastAsia="Times New Roman" w:hAnsi="Tahoma" w:cs="Tahoma"/>
          <w:color w:val="4A4A4A"/>
          <w:sz w:val="15"/>
          <w:lang w:val="uk-UA" w:eastAsia="ru-RU"/>
        </w:rPr>
        <w:t> </w:t>
      </w:r>
      <w:r w:rsidRPr="004566B9">
        <w:rPr>
          <w:rFonts w:ascii="Tahoma" w:eastAsia="Times New Roman" w:hAnsi="Tahoma" w:cs="Tahoma"/>
          <w:color w:val="4A4A4A"/>
          <w:sz w:val="15"/>
          <w:szCs w:val="15"/>
          <w:lang w:val="uk-UA" w:eastAsia="ru-RU"/>
        </w:rPr>
        <w:t>у справах сім’ї, молоді та спорту здійснюється координація роботи структур, що проводять фізкультурно-оздоровчу та спортивну діяльність в місті з урахуванням їх профілю та міжвідомчого характеру. За необхідності вирішення проблемних питань розвитку фізичної культури та спорту в місті, організовується проведення міських нарад, колегій, громадських слухань.</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Вирішуються питання щодо безкоштовного надання спортивних споруд для занять інвалідів. Діти-інваліди відвідують тренування в спортивних групах ДЮСШ з тенісу, спортивної гімнастики, плавання, легкої атлетики та беруть участь в міських, обласних і всеукраїнських змаганнях. В 2012 році спортивні споруди відвідували 12 осіб з обмеженими можливостями, але</w:t>
      </w:r>
      <w:r w:rsidRPr="004566B9">
        <w:rPr>
          <w:rFonts w:ascii="Tahoma" w:eastAsia="Times New Roman" w:hAnsi="Tahoma" w:cs="Tahoma"/>
          <w:color w:val="4A4A4A"/>
          <w:sz w:val="15"/>
          <w:lang w:val="uk-UA" w:eastAsia="ru-RU"/>
        </w:rPr>
        <w:t> </w:t>
      </w:r>
      <w:r w:rsidRPr="004566B9">
        <w:rPr>
          <w:rFonts w:ascii="Tahoma" w:eastAsia="Times New Roman" w:hAnsi="Tahoma" w:cs="Tahoma"/>
          <w:color w:val="4A4A4A"/>
          <w:sz w:val="15"/>
          <w:szCs w:val="15"/>
          <w:lang w:val="uk-UA" w:eastAsia="ru-RU"/>
        </w:rPr>
        <w:t> така можливість є у всіх бажаючих людей даної категорії.</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Створені умови для безперешкодного доступу осіб, які мають обмежені можливості на всі спортивні об’єкти міста. Всі спортивні споруди розташовані на першому поверсі, облаштовані пандусами і металевими поручнями.</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Інваліди мають можливість безкоштовно відвідувати в якості глядачів ігри Чемпіонату України з волейболу, що проходять на території міста.</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Для мешканців міста організовані заняття в платних групах з плавання і загальної фізичної підготовки, які працюють на всіх спортивних спорудах міста.</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Проводилась необхідна робота щодо утримання, збереження та ефективного використання діючих спортивних споруд, зміцнення та розвитку </w:t>
      </w:r>
      <w:r w:rsidRPr="004566B9">
        <w:rPr>
          <w:rFonts w:ascii="Tahoma" w:eastAsia="Times New Roman" w:hAnsi="Tahoma" w:cs="Tahoma"/>
          <w:color w:val="4A4A4A"/>
          <w:sz w:val="15"/>
          <w:lang w:val="uk-UA" w:eastAsia="ru-RU"/>
        </w:rPr>
        <w:t> </w:t>
      </w:r>
      <w:r w:rsidRPr="004566B9">
        <w:rPr>
          <w:rFonts w:ascii="Tahoma" w:eastAsia="Times New Roman" w:hAnsi="Tahoma" w:cs="Tahoma"/>
          <w:color w:val="4A4A4A"/>
          <w:sz w:val="15"/>
          <w:szCs w:val="15"/>
          <w:lang w:val="uk-UA" w:eastAsia="ru-RU"/>
        </w:rPr>
        <w:t>їх матеріально-технічної бази. Планово, два рази на рік, проводяться роботи по підготовці спортивних споруд до роботи в осінньо-зимовому і весняно-літньому сезонах.</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 xml:space="preserve">В бюджеті міста передбачені необхідні асигнування для утримання спортивних шкіл. Крім цього міською владою забезпечується підтримка модернізації об’єктів спортивної інфраструктури. У 2012 році з міського бюджету було виділено 726тис.грн. на капітальні ремонти покрівель Дома фізкультури КДЮСШ-1 (вул.Федоренка,33), і спеціалізованої ігрової зали «Олімпія» ДЮСШ-3 (вул.Сметаніна,5-а). Також з міського бюджету виділено 1 281,8тис.грн. на обладнання трьох автономних котелень для опалення </w:t>
      </w:r>
      <w:r w:rsidRPr="004566B9">
        <w:rPr>
          <w:rFonts w:ascii="Tahoma" w:eastAsia="Times New Roman" w:hAnsi="Tahoma" w:cs="Tahoma"/>
          <w:color w:val="4A4A4A"/>
          <w:sz w:val="15"/>
          <w:szCs w:val="15"/>
          <w:lang w:val="uk-UA" w:eastAsia="ru-RU"/>
        </w:rPr>
        <w:lastRenderedPageBreak/>
        <w:t>спеціалізованої ігрової зали «Олімпія» ДЮСШ-3 (вул.Сметаніна,5-а), спортивного корпусу ДЮСШ-2 (вул.Сметаніна,5-а) та стадіону «Хімік» (вул.Сметаніна,5-а).</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Продовжувалась робота щодо покращення матеріально-технічної бази дитячо-юнацьких спортивних шкіл, забезпечення їх необхідним спортивним обладнанням та спортінвентарем для проведення занять за рахунок </w:t>
      </w:r>
      <w:r w:rsidRPr="004566B9">
        <w:rPr>
          <w:rFonts w:ascii="Tahoma" w:eastAsia="Times New Roman" w:hAnsi="Tahoma" w:cs="Tahoma"/>
          <w:color w:val="4A4A4A"/>
          <w:sz w:val="15"/>
          <w:lang w:val="uk-UA" w:eastAsia="ru-RU"/>
        </w:rPr>
        <w:t> </w:t>
      </w:r>
      <w:r w:rsidRPr="004566B9">
        <w:rPr>
          <w:rFonts w:ascii="Tahoma" w:eastAsia="Times New Roman" w:hAnsi="Tahoma" w:cs="Tahoma"/>
          <w:color w:val="4A4A4A"/>
          <w:sz w:val="15"/>
          <w:szCs w:val="15"/>
          <w:lang w:val="uk-UA" w:eastAsia="ru-RU"/>
        </w:rPr>
        <w:t>як бюджетних, так і позабюджетних коштів.</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У 2012 році на 10,4% збільшилась загальна сума на придбання спортивного обладнання та інвентарю і склала 1 206,3тис.грн., з них 52,3тис.грн. – кошти міського бюджету. Зокрема для спортивних шкіл, в порівнянні з попереднім роком, ця цифра збільшилась на 28,3% і склала 1 140,9 тис. грн.</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Проводилась робота щодо залучення позабюджетних коштів для фінансування фізичної культури та спорту. Активно залучались кошти фондів підприємств, установ і організацій, фондів профспілкових комітетів, фондів соціального страхування та обласного бюджету. За даними річної статистичної звітності у 2012 році сума залучених коштів склала 8 млн. 625,5тис.грн.</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Протягом 2012 року залишалась закритою для глядачів східна трибуна стадіону «Хімік». Реконструкція, яку було розпочато ще в 2006 році (зроблено капітальний ремонт західної трибуни), за браком коштів так і не завершена. Але, не дивлячись на це, стадіон працює. Для проведення спортивно-масових заходів використовується зелене футбольне поле, бігові доріжки, ями для стрибків і західна трибуна. Перспектив щодо завершення ремонту трибун стадіону поки що немає.</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Міською владою порушено питання щодо включення Льодового Палацу спорту м.Сєвєродонецька до державної програми реконструкції Льодових Палаців. Направлені відповідні листи до Міністерства фінансів щодо виділення з державного бюджету коштів для його реконструкції.</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Здійснюються заходи щодо облаштування сучасних спортивно-ігрових майданчиків за місцем проживання та масового відпочинку населення, відновленню дворових спортивних майданчиків. В 2012 році на території м.Сєвєродонецька обласним центром «Спорт для всіх» встановлено 3 дитячо-спортивних майданчика за місцем проживання, а саме: пос.Воєводівка, вул. Кооперативна,62, вул. Новікова,19 та пр. Гвардійський,79. Щороку в квітні здійснюються ремонти цих майданчиків.</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В 2012 році проведено інвентаризацію спортивної бази міста Сєвєродонецька, під час проведення якої було виявлено ряд споруд які фізично зношені, непридатні для подальшого використання і були списані згідно порядку, затвердженого постановою Кабінету Миністрів України від 08.11.2007р. №1314, а саме:</w:t>
      </w:r>
    </w:p>
    <w:p w:rsidR="004566B9" w:rsidRPr="004566B9" w:rsidRDefault="004566B9" w:rsidP="004566B9">
      <w:pPr>
        <w:shd w:val="clear" w:color="auto" w:fill="FFFFFF"/>
        <w:spacing w:after="180" w:line="360" w:lineRule="atLeast"/>
        <w:ind w:firstLine="284"/>
        <w:jc w:val="both"/>
        <w:rPr>
          <w:rFonts w:ascii="Tahoma" w:eastAsia="Times New Roman" w:hAnsi="Tahoma" w:cs="Tahoma"/>
          <w:color w:val="4A4A4A"/>
          <w:sz w:val="15"/>
          <w:szCs w:val="15"/>
          <w:lang w:eastAsia="ru-RU"/>
        </w:rPr>
      </w:pPr>
      <w:r w:rsidRPr="004566B9">
        <w:rPr>
          <w:rFonts w:ascii="Times New Roman" w:eastAsia="Times New Roman" w:hAnsi="Times New Roman" w:cs="Times New Roman"/>
          <w:color w:val="4A4A4A"/>
          <w:sz w:val="24"/>
          <w:szCs w:val="24"/>
          <w:lang w:val="uk-UA" w:eastAsia="ru-RU"/>
        </w:rPr>
        <w:t>1. Стадіон «Будівельник» (вул.Донецька,3), який більш ніж 15 років не використовується за прямим призначенням, знаходиться в напівзруйнованому стані в приватній власності.</w:t>
      </w:r>
    </w:p>
    <w:p w:rsidR="004566B9" w:rsidRPr="004566B9" w:rsidRDefault="004566B9" w:rsidP="004566B9">
      <w:pPr>
        <w:shd w:val="clear" w:color="auto" w:fill="FFFFFF"/>
        <w:spacing w:after="180" w:line="360" w:lineRule="atLeast"/>
        <w:ind w:firstLine="284"/>
        <w:jc w:val="both"/>
        <w:rPr>
          <w:rFonts w:ascii="Tahoma" w:eastAsia="Times New Roman" w:hAnsi="Tahoma" w:cs="Tahoma"/>
          <w:color w:val="4A4A4A"/>
          <w:sz w:val="15"/>
          <w:szCs w:val="15"/>
          <w:lang w:eastAsia="ru-RU"/>
        </w:rPr>
      </w:pPr>
      <w:r w:rsidRPr="004566B9">
        <w:rPr>
          <w:rFonts w:ascii="Times New Roman" w:eastAsia="Times New Roman" w:hAnsi="Times New Roman" w:cs="Times New Roman"/>
          <w:color w:val="4A4A4A"/>
          <w:sz w:val="24"/>
          <w:szCs w:val="24"/>
          <w:lang w:val="uk-UA" w:eastAsia="ru-RU"/>
        </w:rPr>
        <w:t>2. Футбольне поле стадіону «Будівельник», яке рахувалось як площинна споруда, списано як непридатне для використання.</w:t>
      </w:r>
    </w:p>
    <w:p w:rsidR="004566B9" w:rsidRPr="004566B9" w:rsidRDefault="004566B9" w:rsidP="004566B9">
      <w:pPr>
        <w:shd w:val="clear" w:color="auto" w:fill="FFFFFF"/>
        <w:spacing w:after="180" w:line="360" w:lineRule="atLeast"/>
        <w:ind w:firstLine="284"/>
        <w:jc w:val="both"/>
        <w:rPr>
          <w:rFonts w:ascii="Tahoma" w:eastAsia="Times New Roman" w:hAnsi="Tahoma" w:cs="Tahoma"/>
          <w:color w:val="4A4A4A"/>
          <w:sz w:val="15"/>
          <w:szCs w:val="15"/>
          <w:lang w:eastAsia="ru-RU"/>
        </w:rPr>
      </w:pPr>
      <w:r w:rsidRPr="004566B9">
        <w:rPr>
          <w:rFonts w:ascii="Times New Roman" w:eastAsia="Times New Roman" w:hAnsi="Times New Roman" w:cs="Times New Roman"/>
          <w:color w:val="4A4A4A"/>
          <w:sz w:val="24"/>
          <w:szCs w:val="24"/>
          <w:lang w:val="uk-UA" w:eastAsia="ru-RU"/>
        </w:rPr>
        <w:t>3. Відсутні два тенісних корти за адресою вул.Федоренка,33 (квартал 49-а), земельна ділянка під якими надана в оренду П.П. «Інтеко» до 2017 року згідно рішення Сєвєродонецької міської ради №1641 від 11.12.2007р.</w:t>
      </w:r>
    </w:p>
    <w:p w:rsidR="004566B9" w:rsidRPr="004566B9" w:rsidRDefault="004566B9" w:rsidP="004566B9">
      <w:pPr>
        <w:shd w:val="clear" w:color="auto" w:fill="FFFFFF"/>
        <w:spacing w:after="180" w:line="360" w:lineRule="atLeast"/>
        <w:ind w:firstLine="284"/>
        <w:jc w:val="both"/>
        <w:rPr>
          <w:rFonts w:ascii="Tahoma" w:eastAsia="Times New Roman" w:hAnsi="Tahoma" w:cs="Tahoma"/>
          <w:color w:val="4A4A4A"/>
          <w:sz w:val="15"/>
          <w:szCs w:val="15"/>
          <w:lang w:eastAsia="ru-RU"/>
        </w:rPr>
      </w:pPr>
      <w:r w:rsidRPr="004566B9">
        <w:rPr>
          <w:rFonts w:ascii="Times New Roman" w:eastAsia="Times New Roman" w:hAnsi="Times New Roman" w:cs="Times New Roman"/>
          <w:color w:val="4A4A4A"/>
          <w:sz w:val="24"/>
          <w:szCs w:val="24"/>
          <w:lang w:val="uk-UA" w:eastAsia="ru-RU"/>
        </w:rPr>
        <w:lastRenderedPageBreak/>
        <w:t>4. Відсутні 7 спортивних майданчиків за адресою вул.Сметаніна,5, а саме: 1 баскетбольний майданчик, 3 волейбольних майданчика і 3 майданчика для городків.</w:t>
      </w:r>
    </w:p>
    <w:p w:rsidR="004566B9" w:rsidRPr="004566B9" w:rsidRDefault="004566B9" w:rsidP="004566B9">
      <w:pPr>
        <w:shd w:val="clear" w:color="auto" w:fill="FFFFFF"/>
        <w:spacing w:after="180" w:line="360" w:lineRule="atLeast"/>
        <w:ind w:firstLine="284"/>
        <w:jc w:val="both"/>
        <w:rPr>
          <w:rFonts w:ascii="Tahoma" w:eastAsia="Times New Roman" w:hAnsi="Tahoma" w:cs="Tahoma"/>
          <w:color w:val="4A4A4A"/>
          <w:sz w:val="15"/>
          <w:szCs w:val="15"/>
          <w:lang w:eastAsia="ru-RU"/>
        </w:rPr>
      </w:pPr>
      <w:r w:rsidRPr="004566B9">
        <w:rPr>
          <w:rFonts w:ascii="Times New Roman" w:eastAsia="Times New Roman" w:hAnsi="Times New Roman" w:cs="Times New Roman"/>
          <w:color w:val="4A4A4A"/>
          <w:sz w:val="24"/>
          <w:szCs w:val="24"/>
          <w:lang w:val="uk-UA" w:eastAsia="ru-RU"/>
        </w:rPr>
        <w:t>5. Списанні 4 тири:</w:t>
      </w:r>
    </w:p>
    <w:p w:rsidR="004566B9" w:rsidRPr="004566B9" w:rsidRDefault="004566B9" w:rsidP="004566B9">
      <w:pPr>
        <w:shd w:val="clear" w:color="auto" w:fill="FFFFFF"/>
        <w:spacing w:after="180" w:line="360" w:lineRule="atLeast"/>
        <w:jc w:val="both"/>
        <w:rPr>
          <w:rFonts w:ascii="Tahoma" w:eastAsia="Times New Roman" w:hAnsi="Tahoma" w:cs="Tahoma"/>
          <w:color w:val="4A4A4A"/>
          <w:sz w:val="15"/>
          <w:szCs w:val="15"/>
          <w:lang w:eastAsia="ru-RU"/>
        </w:rPr>
      </w:pPr>
      <w:r w:rsidRPr="004566B9">
        <w:rPr>
          <w:rFonts w:ascii="Times New Roman" w:eastAsia="Times New Roman" w:hAnsi="Times New Roman" w:cs="Times New Roman"/>
          <w:color w:val="4A4A4A"/>
          <w:sz w:val="24"/>
          <w:szCs w:val="24"/>
          <w:lang w:val="uk-UA" w:eastAsia="ru-RU"/>
        </w:rPr>
        <w:t>- стрілецький тир СПО «Азот» при стадіоні «Хімік» (вул.Сметаніна,5) повністю зруйнований;</w:t>
      </w:r>
    </w:p>
    <w:p w:rsidR="004566B9" w:rsidRPr="004566B9" w:rsidRDefault="004566B9" w:rsidP="004566B9">
      <w:pPr>
        <w:shd w:val="clear" w:color="auto" w:fill="FFFFFF"/>
        <w:spacing w:after="180" w:line="360" w:lineRule="atLeast"/>
        <w:jc w:val="both"/>
        <w:rPr>
          <w:rFonts w:ascii="Tahoma" w:eastAsia="Times New Roman" w:hAnsi="Tahoma" w:cs="Tahoma"/>
          <w:color w:val="4A4A4A"/>
          <w:sz w:val="15"/>
          <w:szCs w:val="15"/>
          <w:lang w:eastAsia="ru-RU"/>
        </w:rPr>
      </w:pPr>
      <w:r w:rsidRPr="004566B9">
        <w:rPr>
          <w:rFonts w:ascii="Times New Roman" w:eastAsia="Times New Roman" w:hAnsi="Times New Roman" w:cs="Times New Roman"/>
          <w:color w:val="4A4A4A"/>
          <w:sz w:val="24"/>
          <w:szCs w:val="24"/>
          <w:lang w:val="uk-UA" w:eastAsia="ru-RU"/>
        </w:rPr>
        <w:t>- стрілецький тир НПО «Імпульс» (пр.Гвардійський,9) відсутній;</w:t>
      </w:r>
    </w:p>
    <w:p w:rsidR="004566B9" w:rsidRPr="004566B9" w:rsidRDefault="004566B9" w:rsidP="004566B9">
      <w:pPr>
        <w:shd w:val="clear" w:color="auto" w:fill="FFFFFF"/>
        <w:spacing w:after="180" w:line="360" w:lineRule="atLeast"/>
        <w:jc w:val="both"/>
        <w:rPr>
          <w:rFonts w:ascii="Tahoma" w:eastAsia="Times New Roman" w:hAnsi="Tahoma" w:cs="Tahoma"/>
          <w:color w:val="4A4A4A"/>
          <w:sz w:val="15"/>
          <w:szCs w:val="15"/>
          <w:lang w:eastAsia="ru-RU"/>
        </w:rPr>
      </w:pPr>
      <w:r w:rsidRPr="004566B9">
        <w:rPr>
          <w:rFonts w:ascii="Times New Roman" w:eastAsia="Times New Roman" w:hAnsi="Times New Roman" w:cs="Times New Roman"/>
          <w:color w:val="4A4A4A"/>
          <w:sz w:val="24"/>
          <w:szCs w:val="24"/>
          <w:lang w:val="uk-UA" w:eastAsia="ru-RU"/>
        </w:rPr>
        <w:t>- стрілецький тир комбінату «ВХС» (пр.Радянський,21) відсутній;</w:t>
      </w:r>
    </w:p>
    <w:p w:rsidR="004566B9" w:rsidRPr="004566B9" w:rsidRDefault="004566B9" w:rsidP="004566B9">
      <w:pPr>
        <w:shd w:val="clear" w:color="auto" w:fill="FFFFFF"/>
        <w:spacing w:after="180" w:line="360" w:lineRule="atLeast"/>
        <w:jc w:val="both"/>
        <w:rPr>
          <w:rFonts w:ascii="Tahoma" w:eastAsia="Times New Roman" w:hAnsi="Tahoma" w:cs="Tahoma"/>
          <w:color w:val="4A4A4A"/>
          <w:sz w:val="15"/>
          <w:szCs w:val="15"/>
          <w:lang w:eastAsia="ru-RU"/>
        </w:rPr>
      </w:pPr>
      <w:r w:rsidRPr="004566B9">
        <w:rPr>
          <w:rFonts w:ascii="Times New Roman" w:eastAsia="Times New Roman" w:hAnsi="Times New Roman" w:cs="Times New Roman"/>
          <w:color w:val="4A4A4A"/>
          <w:sz w:val="24"/>
          <w:szCs w:val="24"/>
          <w:lang w:val="uk-UA" w:eastAsia="ru-RU"/>
        </w:rPr>
        <w:t>- стрілецький тир ПТУ-1 (пр.Рідянський,22) не придатний для експлуатації.</w:t>
      </w:r>
    </w:p>
    <w:p w:rsidR="004566B9" w:rsidRPr="004566B9" w:rsidRDefault="004566B9" w:rsidP="004566B9">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4566B9">
        <w:rPr>
          <w:rFonts w:ascii="Times New Roman" w:eastAsia="Times New Roman" w:hAnsi="Times New Roman" w:cs="Times New Roman"/>
          <w:color w:val="4A4A4A"/>
          <w:sz w:val="24"/>
          <w:szCs w:val="24"/>
          <w:lang w:val="uk-UA" w:eastAsia="ru-RU"/>
        </w:rPr>
        <w:t>До Єдиного електронного всеукраїнського реєстру спортивних споруд внесені 10 спортивних споруд м.Сєвєродонецька:</w:t>
      </w:r>
    </w:p>
    <w:p w:rsidR="004566B9" w:rsidRPr="004566B9" w:rsidRDefault="004566B9" w:rsidP="004566B9">
      <w:pPr>
        <w:shd w:val="clear" w:color="auto" w:fill="FFFFFF"/>
        <w:spacing w:after="180" w:line="360" w:lineRule="atLeast"/>
        <w:ind w:left="644" w:hanging="360"/>
        <w:jc w:val="both"/>
        <w:rPr>
          <w:rFonts w:ascii="Tahoma" w:eastAsia="Times New Roman" w:hAnsi="Tahoma" w:cs="Tahoma"/>
          <w:color w:val="4A4A4A"/>
          <w:sz w:val="15"/>
          <w:szCs w:val="15"/>
          <w:lang w:eastAsia="ru-RU"/>
        </w:rPr>
      </w:pPr>
      <w:r w:rsidRPr="004566B9">
        <w:rPr>
          <w:rFonts w:ascii="Times New Roman" w:eastAsia="Times New Roman" w:hAnsi="Times New Roman" w:cs="Times New Roman"/>
          <w:color w:val="4A4A4A"/>
          <w:sz w:val="24"/>
          <w:szCs w:val="24"/>
          <w:lang w:val="uk-UA" w:eastAsia="ru-RU"/>
        </w:rPr>
        <w:t>1.</w:t>
      </w:r>
      <w:r w:rsidRPr="004566B9">
        <w:rPr>
          <w:rFonts w:ascii="Times New Roman" w:eastAsia="Times New Roman" w:hAnsi="Times New Roman" w:cs="Times New Roman"/>
          <w:color w:val="4A4A4A"/>
          <w:sz w:val="14"/>
          <w:szCs w:val="14"/>
          <w:lang w:val="uk-UA" w:eastAsia="ru-RU"/>
        </w:rPr>
        <w:t>     </w:t>
      </w:r>
      <w:r w:rsidRPr="004566B9">
        <w:rPr>
          <w:rFonts w:ascii="Times New Roman" w:eastAsia="Times New Roman" w:hAnsi="Times New Roman" w:cs="Times New Roman"/>
          <w:color w:val="4A4A4A"/>
          <w:sz w:val="14"/>
          <w:lang w:val="uk-UA" w:eastAsia="ru-RU"/>
        </w:rPr>
        <w:t> </w:t>
      </w:r>
      <w:r w:rsidRPr="004566B9">
        <w:rPr>
          <w:rFonts w:ascii="Times New Roman" w:eastAsia="Times New Roman" w:hAnsi="Times New Roman" w:cs="Times New Roman"/>
          <w:color w:val="4A4A4A"/>
          <w:sz w:val="24"/>
          <w:szCs w:val="24"/>
          <w:lang w:val="uk-UA" w:eastAsia="ru-RU"/>
        </w:rPr>
        <w:t>Льодовий Палац спорту (вул.Маяковського,28);</w:t>
      </w:r>
    </w:p>
    <w:p w:rsidR="004566B9" w:rsidRPr="004566B9" w:rsidRDefault="004566B9" w:rsidP="004566B9">
      <w:pPr>
        <w:shd w:val="clear" w:color="auto" w:fill="FFFFFF"/>
        <w:spacing w:after="180" w:line="360" w:lineRule="atLeast"/>
        <w:ind w:left="644" w:hanging="360"/>
        <w:jc w:val="both"/>
        <w:rPr>
          <w:rFonts w:ascii="Tahoma" w:eastAsia="Times New Roman" w:hAnsi="Tahoma" w:cs="Tahoma"/>
          <w:color w:val="4A4A4A"/>
          <w:sz w:val="15"/>
          <w:szCs w:val="15"/>
          <w:lang w:eastAsia="ru-RU"/>
        </w:rPr>
      </w:pPr>
      <w:r w:rsidRPr="004566B9">
        <w:rPr>
          <w:rFonts w:ascii="Times New Roman" w:eastAsia="Times New Roman" w:hAnsi="Times New Roman" w:cs="Times New Roman"/>
          <w:color w:val="4A4A4A"/>
          <w:sz w:val="24"/>
          <w:szCs w:val="24"/>
          <w:lang w:val="uk-UA" w:eastAsia="ru-RU"/>
        </w:rPr>
        <w:t>2.</w:t>
      </w:r>
      <w:r w:rsidRPr="004566B9">
        <w:rPr>
          <w:rFonts w:ascii="Times New Roman" w:eastAsia="Times New Roman" w:hAnsi="Times New Roman" w:cs="Times New Roman"/>
          <w:color w:val="4A4A4A"/>
          <w:sz w:val="14"/>
          <w:szCs w:val="14"/>
          <w:lang w:val="uk-UA" w:eastAsia="ru-RU"/>
        </w:rPr>
        <w:t>     </w:t>
      </w:r>
      <w:r w:rsidRPr="004566B9">
        <w:rPr>
          <w:rFonts w:ascii="Times New Roman" w:eastAsia="Times New Roman" w:hAnsi="Times New Roman" w:cs="Times New Roman"/>
          <w:color w:val="4A4A4A"/>
          <w:sz w:val="14"/>
          <w:lang w:val="uk-UA" w:eastAsia="ru-RU"/>
        </w:rPr>
        <w:t> </w:t>
      </w:r>
      <w:r w:rsidRPr="004566B9">
        <w:rPr>
          <w:rFonts w:ascii="Times New Roman" w:eastAsia="Times New Roman" w:hAnsi="Times New Roman" w:cs="Times New Roman"/>
          <w:color w:val="4A4A4A"/>
          <w:sz w:val="24"/>
          <w:szCs w:val="24"/>
          <w:lang w:val="uk-UA" w:eastAsia="ru-RU"/>
        </w:rPr>
        <w:t>Басейн «Садко» (вул.Маяковського,19-а);</w:t>
      </w:r>
    </w:p>
    <w:p w:rsidR="004566B9" w:rsidRPr="004566B9" w:rsidRDefault="004566B9" w:rsidP="004566B9">
      <w:pPr>
        <w:shd w:val="clear" w:color="auto" w:fill="FFFFFF"/>
        <w:spacing w:after="180" w:line="360" w:lineRule="atLeast"/>
        <w:ind w:left="644" w:hanging="360"/>
        <w:jc w:val="both"/>
        <w:rPr>
          <w:rFonts w:ascii="Tahoma" w:eastAsia="Times New Roman" w:hAnsi="Tahoma" w:cs="Tahoma"/>
          <w:color w:val="4A4A4A"/>
          <w:sz w:val="15"/>
          <w:szCs w:val="15"/>
          <w:lang w:eastAsia="ru-RU"/>
        </w:rPr>
      </w:pPr>
      <w:r w:rsidRPr="004566B9">
        <w:rPr>
          <w:rFonts w:ascii="Times New Roman" w:eastAsia="Times New Roman" w:hAnsi="Times New Roman" w:cs="Times New Roman"/>
          <w:color w:val="4A4A4A"/>
          <w:sz w:val="24"/>
          <w:szCs w:val="24"/>
          <w:lang w:val="uk-UA" w:eastAsia="ru-RU"/>
        </w:rPr>
        <w:t>3.</w:t>
      </w:r>
      <w:r w:rsidRPr="004566B9">
        <w:rPr>
          <w:rFonts w:ascii="Times New Roman" w:eastAsia="Times New Roman" w:hAnsi="Times New Roman" w:cs="Times New Roman"/>
          <w:color w:val="4A4A4A"/>
          <w:sz w:val="14"/>
          <w:szCs w:val="14"/>
          <w:lang w:val="uk-UA" w:eastAsia="ru-RU"/>
        </w:rPr>
        <w:t>     </w:t>
      </w:r>
      <w:r w:rsidRPr="004566B9">
        <w:rPr>
          <w:rFonts w:ascii="Times New Roman" w:eastAsia="Times New Roman" w:hAnsi="Times New Roman" w:cs="Times New Roman"/>
          <w:color w:val="4A4A4A"/>
          <w:sz w:val="14"/>
          <w:lang w:val="uk-UA" w:eastAsia="ru-RU"/>
        </w:rPr>
        <w:t> </w:t>
      </w:r>
      <w:r w:rsidRPr="004566B9">
        <w:rPr>
          <w:rFonts w:ascii="Times New Roman" w:eastAsia="Times New Roman" w:hAnsi="Times New Roman" w:cs="Times New Roman"/>
          <w:color w:val="4A4A4A"/>
          <w:sz w:val="24"/>
          <w:szCs w:val="24"/>
          <w:lang w:val="uk-UA" w:eastAsia="ru-RU"/>
        </w:rPr>
        <w:t>Спеціалізована зала боротьби (вул.Заводська,21-а);</w:t>
      </w:r>
    </w:p>
    <w:p w:rsidR="004566B9" w:rsidRPr="004566B9" w:rsidRDefault="004566B9" w:rsidP="004566B9">
      <w:pPr>
        <w:shd w:val="clear" w:color="auto" w:fill="FFFFFF"/>
        <w:spacing w:after="180" w:line="360" w:lineRule="atLeast"/>
        <w:ind w:left="644" w:hanging="360"/>
        <w:jc w:val="both"/>
        <w:rPr>
          <w:rFonts w:ascii="Tahoma" w:eastAsia="Times New Roman" w:hAnsi="Tahoma" w:cs="Tahoma"/>
          <w:color w:val="4A4A4A"/>
          <w:sz w:val="15"/>
          <w:szCs w:val="15"/>
          <w:lang w:eastAsia="ru-RU"/>
        </w:rPr>
      </w:pPr>
      <w:r w:rsidRPr="004566B9">
        <w:rPr>
          <w:rFonts w:ascii="Times New Roman" w:eastAsia="Times New Roman" w:hAnsi="Times New Roman" w:cs="Times New Roman"/>
          <w:color w:val="4A4A4A"/>
          <w:sz w:val="24"/>
          <w:szCs w:val="24"/>
          <w:lang w:val="uk-UA" w:eastAsia="ru-RU"/>
        </w:rPr>
        <w:t>4.</w:t>
      </w:r>
      <w:r w:rsidRPr="004566B9">
        <w:rPr>
          <w:rFonts w:ascii="Times New Roman" w:eastAsia="Times New Roman" w:hAnsi="Times New Roman" w:cs="Times New Roman"/>
          <w:color w:val="4A4A4A"/>
          <w:sz w:val="14"/>
          <w:szCs w:val="14"/>
          <w:lang w:val="uk-UA" w:eastAsia="ru-RU"/>
        </w:rPr>
        <w:t>     </w:t>
      </w:r>
      <w:r w:rsidRPr="004566B9">
        <w:rPr>
          <w:rFonts w:ascii="Times New Roman" w:eastAsia="Times New Roman" w:hAnsi="Times New Roman" w:cs="Times New Roman"/>
          <w:color w:val="4A4A4A"/>
          <w:sz w:val="14"/>
          <w:lang w:val="uk-UA" w:eastAsia="ru-RU"/>
        </w:rPr>
        <w:t> </w:t>
      </w:r>
      <w:r w:rsidRPr="004566B9">
        <w:rPr>
          <w:rFonts w:ascii="Times New Roman" w:eastAsia="Times New Roman" w:hAnsi="Times New Roman" w:cs="Times New Roman"/>
          <w:color w:val="4A4A4A"/>
          <w:sz w:val="24"/>
          <w:szCs w:val="24"/>
          <w:lang w:val="uk-UA" w:eastAsia="ru-RU"/>
        </w:rPr>
        <w:t>Дім фізкультури КДЮСШ-1 (вул.Федоренка,33);</w:t>
      </w:r>
    </w:p>
    <w:p w:rsidR="004566B9" w:rsidRPr="004566B9" w:rsidRDefault="004566B9" w:rsidP="004566B9">
      <w:pPr>
        <w:shd w:val="clear" w:color="auto" w:fill="FFFFFF"/>
        <w:spacing w:after="180" w:line="360" w:lineRule="atLeast"/>
        <w:ind w:left="644" w:hanging="360"/>
        <w:jc w:val="both"/>
        <w:rPr>
          <w:rFonts w:ascii="Tahoma" w:eastAsia="Times New Roman" w:hAnsi="Tahoma" w:cs="Tahoma"/>
          <w:color w:val="4A4A4A"/>
          <w:sz w:val="15"/>
          <w:szCs w:val="15"/>
          <w:lang w:eastAsia="ru-RU"/>
        </w:rPr>
      </w:pPr>
      <w:r w:rsidRPr="004566B9">
        <w:rPr>
          <w:rFonts w:ascii="Times New Roman" w:eastAsia="Times New Roman" w:hAnsi="Times New Roman" w:cs="Times New Roman"/>
          <w:color w:val="4A4A4A"/>
          <w:sz w:val="24"/>
          <w:szCs w:val="24"/>
          <w:lang w:val="uk-UA" w:eastAsia="ru-RU"/>
        </w:rPr>
        <w:t>5.</w:t>
      </w:r>
      <w:r w:rsidRPr="004566B9">
        <w:rPr>
          <w:rFonts w:ascii="Times New Roman" w:eastAsia="Times New Roman" w:hAnsi="Times New Roman" w:cs="Times New Roman"/>
          <w:color w:val="4A4A4A"/>
          <w:sz w:val="14"/>
          <w:szCs w:val="14"/>
          <w:lang w:val="uk-UA" w:eastAsia="ru-RU"/>
        </w:rPr>
        <w:t>     </w:t>
      </w:r>
      <w:r w:rsidRPr="004566B9">
        <w:rPr>
          <w:rFonts w:ascii="Times New Roman" w:eastAsia="Times New Roman" w:hAnsi="Times New Roman" w:cs="Times New Roman"/>
          <w:color w:val="4A4A4A"/>
          <w:sz w:val="14"/>
          <w:lang w:val="uk-UA" w:eastAsia="ru-RU"/>
        </w:rPr>
        <w:t> </w:t>
      </w:r>
      <w:r w:rsidRPr="004566B9">
        <w:rPr>
          <w:rFonts w:ascii="Times New Roman" w:eastAsia="Times New Roman" w:hAnsi="Times New Roman" w:cs="Times New Roman"/>
          <w:color w:val="4A4A4A"/>
          <w:sz w:val="24"/>
          <w:szCs w:val="24"/>
          <w:lang w:val="uk-UA" w:eastAsia="ru-RU"/>
        </w:rPr>
        <w:t>Зала тенісу (вул.Вілєсова,4-а);</w:t>
      </w:r>
    </w:p>
    <w:p w:rsidR="004566B9" w:rsidRPr="004566B9" w:rsidRDefault="004566B9" w:rsidP="004566B9">
      <w:pPr>
        <w:shd w:val="clear" w:color="auto" w:fill="FFFFFF"/>
        <w:spacing w:after="180" w:line="360" w:lineRule="atLeast"/>
        <w:ind w:left="644" w:hanging="360"/>
        <w:jc w:val="both"/>
        <w:rPr>
          <w:rFonts w:ascii="Tahoma" w:eastAsia="Times New Roman" w:hAnsi="Tahoma" w:cs="Tahoma"/>
          <w:color w:val="4A4A4A"/>
          <w:sz w:val="15"/>
          <w:szCs w:val="15"/>
          <w:lang w:eastAsia="ru-RU"/>
        </w:rPr>
      </w:pPr>
      <w:r w:rsidRPr="004566B9">
        <w:rPr>
          <w:rFonts w:ascii="Times New Roman" w:eastAsia="Times New Roman" w:hAnsi="Times New Roman" w:cs="Times New Roman"/>
          <w:color w:val="4A4A4A"/>
          <w:sz w:val="24"/>
          <w:szCs w:val="24"/>
          <w:lang w:val="uk-UA" w:eastAsia="ru-RU"/>
        </w:rPr>
        <w:t>6.</w:t>
      </w:r>
      <w:r w:rsidRPr="004566B9">
        <w:rPr>
          <w:rFonts w:ascii="Times New Roman" w:eastAsia="Times New Roman" w:hAnsi="Times New Roman" w:cs="Times New Roman"/>
          <w:color w:val="4A4A4A"/>
          <w:sz w:val="14"/>
          <w:szCs w:val="14"/>
          <w:lang w:val="uk-UA" w:eastAsia="ru-RU"/>
        </w:rPr>
        <w:t>     </w:t>
      </w:r>
      <w:r w:rsidRPr="004566B9">
        <w:rPr>
          <w:rFonts w:ascii="Times New Roman" w:eastAsia="Times New Roman" w:hAnsi="Times New Roman" w:cs="Times New Roman"/>
          <w:color w:val="4A4A4A"/>
          <w:sz w:val="14"/>
          <w:lang w:val="uk-UA" w:eastAsia="ru-RU"/>
        </w:rPr>
        <w:t> </w:t>
      </w:r>
      <w:r w:rsidRPr="004566B9">
        <w:rPr>
          <w:rFonts w:ascii="Times New Roman" w:eastAsia="Times New Roman" w:hAnsi="Times New Roman" w:cs="Times New Roman"/>
          <w:color w:val="4A4A4A"/>
          <w:sz w:val="24"/>
          <w:szCs w:val="24"/>
          <w:lang w:val="uk-UA" w:eastAsia="ru-RU"/>
        </w:rPr>
        <w:t>Палац тенісу (вул.Федоренка,33);</w:t>
      </w:r>
    </w:p>
    <w:p w:rsidR="004566B9" w:rsidRPr="004566B9" w:rsidRDefault="004566B9" w:rsidP="004566B9">
      <w:pPr>
        <w:shd w:val="clear" w:color="auto" w:fill="FFFFFF"/>
        <w:spacing w:after="180" w:line="360" w:lineRule="atLeast"/>
        <w:ind w:left="644" w:hanging="360"/>
        <w:jc w:val="both"/>
        <w:rPr>
          <w:rFonts w:ascii="Tahoma" w:eastAsia="Times New Roman" w:hAnsi="Tahoma" w:cs="Tahoma"/>
          <w:color w:val="4A4A4A"/>
          <w:sz w:val="15"/>
          <w:szCs w:val="15"/>
          <w:lang w:eastAsia="ru-RU"/>
        </w:rPr>
      </w:pPr>
      <w:r w:rsidRPr="004566B9">
        <w:rPr>
          <w:rFonts w:ascii="Times New Roman" w:eastAsia="Times New Roman" w:hAnsi="Times New Roman" w:cs="Times New Roman"/>
          <w:color w:val="4A4A4A"/>
          <w:sz w:val="24"/>
          <w:szCs w:val="24"/>
          <w:lang w:val="uk-UA" w:eastAsia="ru-RU"/>
        </w:rPr>
        <w:t>7.</w:t>
      </w:r>
      <w:r w:rsidRPr="004566B9">
        <w:rPr>
          <w:rFonts w:ascii="Times New Roman" w:eastAsia="Times New Roman" w:hAnsi="Times New Roman" w:cs="Times New Roman"/>
          <w:color w:val="4A4A4A"/>
          <w:sz w:val="14"/>
          <w:szCs w:val="14"/>
          <w:lang w:val="uk-UA" w:eastAsia="ru-RU"/>
        </w:rPr>
        <w:t>     </w:t>
      </w:r>
      <w:r w:rsidRPr="004566B9">
        <w:rPr>
          <w:rFonts w:ascii="Times New Roman" w:eastAsia="Times New Roman" w:hAnsi="Times New Roman" w:cs="Times New Roman"/>
          <w:color w:val="4A4A4A"/>
          <w:sz w:val="14"/>
          <w:lang w:val="uk-UA" w:eastAsia="ru-RU"/>
        </w:rPr>
        <w:t> </w:t>
      </w:r>
      <w:r w:rsidRPr="004566B9">
        <w:rPr>
          <w:rFonts w:ascii="Times New Roman" w:eastAsia="Times New Roman" w:hAnsi="Times New Roman" w:cs="Times New Roman"/>
          <w:color w:val="4A4A4A"/>
          <w:sz w:val="24"/>
          <w:szCs w:val="24"/>
          <w:lang w:val="uk-UA" w:eastAsia="ru-RU"/>
        </w:rPr>
        <w:t>Стадіон «Хімік» (вул.Сметаніна,5-а);</w:t>
      </w:r>
    </w:p>
    <w:p w:rsidR="004566B9" w:rsidRPr="004566B9" w:rsidRDefault="004566B9" w:rsidP="004566B9">
      <w:pPr>
        <w:shd w:val="clear" w:color="auto" w:fill="FFFFFF"/>
        <w:spacing w:after="180" w:line="360" w:lineRule="atLeast"/>
        <w:ind w:left="644" w:hanging="360"/>
        <w:jc w:val="both"/>
        <w:rPr>
          <w:rFonts w:ascii="Tahoma" w:eastAsia="Times New Roman" w:hAnsi="Tahoma" w:cs="Tahoma"/>
          <w:color w:val="4A4A4A"/>
          <w:sz w:val="15"/>
          <w:szCs w:val="15"/>
          <w:lang w:eastAsia="ru-RU"/>
        </w:rPr>
      </w:pPr>
      <w:r w:rsidRPr="004566B9">
        <w:rPr>
          <w:rFonts w:ascii="Times New Roman" w:eastAsia="Times New Roman" w:hAnsi="Times New Roman" w:cs="Times New Roman"/>
          <w:color w:val="4A4A4A"/>
          <w:sz w:val="24"/>
          <w:szCs w:val="24"/>
          <w:lang w:val="uk-UA" w:eastAsia="ru-RU"/>
        </w:rPr>
        <w:t>8.</w:t>
      </w:r>
      <w:r w:rsidRPr="004566B9">
        <w:rPr>
          <w:rFonts w:ascii="Times New Roman" w:eastAsia="Times New Roman" w:hAnsi="Times New Roman" w:cs="Times New Roman"/>
          <w:color w:val="4A4A4A"/>
          <w:sz w:val="14"/>
          <w:szCs w:val="14"/>
          <w:lang w:val="uk-UA" w:eastAsia="ru-RU"/>
        </w:rPr>
        <w:t>     </w:t>
      </w:r>
      <w:r w:rsidRPr="004566B9">
        <w:rPr>
          <w:rFonts w:ascii="Times New Roman" w:eastAsia="Times New Roman" w:hAnsi="Times New Roman" w:cs="Times New Roman"/>
          <w:color w:val="4A4A4A"/>
          <w:sz w:val="14"/>
          <w:lang w:val="uk-UA" w:eastAsia="ru-RU"/>
        </w:rPr>
        <w:t> </w:t>
      </w:r>
      <w:r w:rsidRPr="004566B9">
        <w:rPr>
          <w:rFonts w:ascii="Times New Roman" w:eastAsia="Times New Roman" w:hAnsi="Times New Roman" w:cs="Times New Roman"/>
          <w:color w:val="4A4A4A"/>
          <w:sz w:val="24"/>
          <w:szCs w:val="24"/>
          <w:lang w:val="uk-UA" w:eastAsia="ru-RU"/>
        </w:rPr>
        <w:t>Спортивний корпус ДЮСШ-2 (вул.Сметаніна,5-а);</w:t>
      </w:r>
    </w:p>
    <w:p w:rsidR="004566B9" w:rsidRPr="004566B9" w:rsidRDefault="004566B9" w:rsidP="004566B9">
      <w:pPr>
        <w:shd w:val="clear" w:color="auto" w:fill="FFFFFF"/>
        <w:spacing w:after="180" w:line="360" w:lineRule="atLeast"/>
        <w:ind w:left="644" w:hanging="360"/>
        <w:jc w:val="both"/>
        <w:rPr>
          <w:rFonts w:ascii="Tahoma" w:eastAsia="Times New Roman" w:hAnsi="Tahoma" w:cs="Tahoma"/>
          <w:color w:val="4A4A4A"/>
          <w:sz w:val="15"/>
          <w:szCs w:val="15"/>
          <w:lang w:eastAsia="ru-RU"/>
        </w:rPr>
      </w:pPr>
      <w:r w:rsidRPr="004566B9">
        <w:rPr>
          <w:rFonts w:ascii="Times New Roman" w:eastAsia="Times New Roman" w:hAnsi="Times New Roman" w:cs="Times New Roman"/>
          <w:color w:val="4A4A4A"/>
          <w:sz w:val="24"/>
          <w:szCs w:val="24"/>
          <w:lang w:val="uk-UA" w:eastAsia="ru-RU"/>
        </w:rPr>
        <w:t>9.</w:t>
      </w:r>
      <w:r w:rsidRPr="004566B9">
        <w:rPr>
          <w:rFonts w:ascii="Times New Roman" w:eastAsia="Times New Roman" w:hAnsi="Times New Roman" w:cs="Times New Roman"/>
          <w:color w:val="4A4A4A"/>
          <w:sz w:val="14"/>
          <w:szCs w:val="14"/>
          <w:lang w:val="uk-UA" w:eastAsia="ru-RU"/>
        </w:rPr>
        <w:t>     </w:t>
      </w:r>
      <w:r w:rsidRPr="004566B9">
        <w:rPr>
          <w:rFonts w:ascii="Times New Roman" w:eastAsia="Times New Roman" w:hAnsi="Times New Roman" w:cs="Times New Roman"/>
          <w:color w:val="4A4A4A"/>
          <w:sz w:val="14"/>
          <w:lang w:val="uk-UA" w:eastAsia="ru-RU"/>
        </w:rPr>
        <w:t> </w:t>
      </w:r>
      <w:r w:rsidRPr="004566B9">
        <w:rPr>
          <w:rFonts w:ascii="Times New Roman" w:eastAsia="Times New Roman" w:hAnsi="Times New Roman" w:cs="Times New Roman"/>
          <w:color w:val="4A4A4A"/>
          <w:sz w:val="24"/>
          <w:szCs w:val="24"/>
          <w:lang w:val="uk-UA" w:eastAsia="ru-RU"/>
        </w:rPr>
        <w:t>Тир «Спартак» (вул.Заводська,36-а);</w:t>
      </w:r>
    </w:p>
    <w:p w:rsidR="004566B9" w:rsidRPr="004566B9" w:rsidRDefault="004566B9" w:rsidP="004566B9">
      <w:pPr>
        <w:shd w:val="clear" w:color="auto" w:fill="FFFFFF"/>
        <w:spacing w:after="180" w:line="360" w:lineRule="atLeast"/>
        <w:ind w:left="644" w:hanging="360"/>
        <w:jc w:val="both"/>
        <w:rPr>
          <w:rFonts w:ascii="Tahoma" w:eastAsia="Times New Roman" w:hAnsi="Tahoma" w:cs="Tahoma"/>
          <w:color w:val="4A4A4A"/>
          <w:sz w:val="15"/>
          <w:szCs w:val="15"/>
          <w:lang w:eastAsia="ru-RU"/>
        </w:rPr>
      </w:pPr>
      <w:r w:rsidRPr="004566B9">
        <w:rPr>
          <w:rFonts w:ascii="Times New Roman" w:eastAsia="Times New Roman" w:hAnsi="Times New Roman" w:cs="Times New Roman"/>
          <w:color w:val="4A4A4A"/>
          <w:sz w:val="24"/>
          <w:szCs w:val="24"/>
          <w:lang w:val="uk-UA" w:eastAsia="ru-RU"/>
        </w:rPr>
        <w:t>10.</w:t>
      </w:r>
      <w:r w:rsidRPr="004566B9">
        <w:rPr>
          <w:rFonts w:ascii="Times New Roman" w:eastAsia="Times New Roman" w:hAnsi="Times New Roman" w:cs="Times New Roman"/>
          <w:color w:val="4A4A4A"/>
          <w:sz w:val="14"/>
          <w:szCs w:val="14"/>
          <w:lang w:val="uk-UA" w:eastAsia="ru-RU"/>
        </w:rPr>
        <w:t> </w:t>
      </w:r>
      <w:r w:rsidRPr="004566B9">
        <w:rPr>
          <w:rFonts w:ascii="Times New Roman" w:eastAsia="Times New Roman" w:hAnsi="Times New Roman" w:cs="Times New Roman"/>
          <w:color w:val="4A4A4A"/>
          <w:sz w:val="14"/>
          <w:lang w:val="uk-UA" w:eastAsia="ru-RU"/>
        </w:rPr>
        <w:t> </w:t>
      </w:r>
      <w:r w:rsidRPr="004566B9">
        <w:rPr>
          <w:rFonts w:ascii="Times New Roman" w:eastAsia="Times New Roman" w:hAnsi="Times New Roman" w:cs="Times New Roman"/>
          <w:color w:val="4A4A4A"/>
          <w:sz w:val="24"/>
          <w:szCs w:val="24"/>
          <w:lang w:val="uk-UA" w:eastAsia="ru-RU"/>
        </w:rPr>
        <w:t>Спеціалізована ігрова зала «Олімпія» ДЮСШ-3 (вул.Сметаніна,5-а).</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b/>
          <w:bCs/>
          <w:color w:val="4A4A4A"/>
          <w:sz w:val="15"/>
          <w:szCs w:val="15"/>
          <w:lang w:val="uk-UA" w:eastAsia="ru-RU"/>
        </w:rPr>
        <w:t>3. Оцінка ефективності виконання.</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Аналіз участі збірних команд міста та окремих спортсменів з різних видів спорту в змаганнях вищого рангу, проведення міських спортивно-масових заходів які організовувались в рамках реалізації завдань міської цільової комплексної програми “Розвитку фізичної культури та спорту» дають можливість визначити, що дана робота проводиться за участю дітей, учнівської та студентської молоді, що позитивно впливає на процес їх духовного і фізичного розвитку, формування у них почуття гордості за своє місто, підвищення авторитету міста у спортивному русі. В місті створюються умови для максимальної реалізації та розвитку індивідуальних здібностей спортсменів на етапах багаторічної підготовки та у спорті вищих досягнень, умови для фізкультурно-оздоровчих занять всіх верств населення міста.</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Спортсмени міста на достойному рівні представляли Сєвєродонецьк на обласних, національних і міжнародних змаганнях, де посідали призові місця. Тому виконання даної програми можна вважати задовільним.</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b/>
          <w:bCs/>
          <w:color w:val="4A4A4A"/>
          <w:sz w:val="15"/>
          <w:szCs w:val="15"/>
          <w:lang w:val="uk-UA" w:eastAsia="ru-RU"/>
        </w:rPr>
        <w:lastRenderedPageBreak/>
        <w:t>4. Фінансування.</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Заходи міської цільової комплексної програми “Розвитку фізичної культури та спорту» фінансувались за рахунок коштів міського бюджету, спонсорських та інших, не заборонених законодавством джерел.</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В бюджеті міста передбачаються необхідні асигнування для проведення спортивно-масових заходів, утримання дитячо-юнацьких спортивних шкіл та спортивних споруд міста. Проводилась робота щодо залучення додаткових коштів з різних джерел для проведення міських спортивних заходів та участі спортсменів в змаганнях різного рангу.</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Фінансову підтримку з цих питань здійснювали: міська рада, ПАТ «Об’єднання Азот» та інші підприємства і організації усіх форм власності. До проведення міських спортивних заходів активно залучався Благодійний фонд О.Кунченка «Заради майбутнього». Фондом виділялись кошти на придбання кубків грамот, медалей і заохочувальних призів для нагородження учасників.</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В 2012 році загальна сума фінансування спорту склала 23 млн. 207,5 тис. грн.</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Зокрема загальна сума фінансування спортивних шкіл збільшилась в 1,3 рази і склала 13 млн. 846,7 тис. грн., з них   </w:t>
      </w:r>
      <w:r w:rsidRPr="004566B9">
        <w:rPr>
          <w:rFonts w:ascii="Tahoma" w:eastAsia="Times New Roman" w:hAnsi="Tahoma" w:cs="Tahoma"/>
          <w:color w:val="4A4A4A"/>
          <w:sz w:val="15"/>
          <w:lang w:val="uk-UA" w:eastAsia="ru-RU"/>
        </w:rPr>
        <w:t> </w:t>
      </w:r>
      <w:r w:rsidRPr="004566B9">
        <w:rPr>
          <w:rFonts w:ascii="Tahoma" w:eastAsia="Times New Roman" w:hAnsi="Tahoma" w:cs="Tahoma"/>
          <w:color w:val="4A4A4A"/>
          <w:sz w:val="15"/>
          <w:szCs w:val="15"/>
          <w:lang w:val="uk-UA" w:eastAsia="ru-RU"/>
        </w:rPr>
        <w:t>11 млн. 791,0 тис. грн. – з бюджету міста, 250,0 тис. грн. – кошти фонду соціального страхування і </w:t>
      </w:r>
      <w:r w:rsidRPr="004566B9">
        <w:rPr>
          <w:rFonts w:ascii="Tahoma" w:eastAsia="Times New Roman" w:hAnsi="Tahoma" w:cs="Tahoma"/>
          <w:color w:val="4A4A4A"/>
          <w:sz w:val="15"/>
          <w:lang w:val="uk-UA" w:eastAsia="ru-RU"/>
        </w:rPr>
        <w:t> </w:t>
      </w:r>
      <w:r w:rsidRPr="004566B9">
        <w:rPr>
          <w:rFonts w:ascii="Tahoma" w:eastAsia="Times New Roman" w:hAnsi="Tahoma" w:cs="Tahoma"/>
          <w:color w:val="4A4A4A"/>
          <w:sz w:val="15"/>
          <w:szCs w:val="15"/>
          <w:lang w:val="uk-UA" w:eastAsia="ru-RU"/>
        </w:rPr>
        <w:t>1 млн. 805,7 тис. грн. – з інших джерел.</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Загальна сума витрат на спортивні заходи та навчально-тренувальну роботу в 2012 році склала 2 млн. 699,1 тис. грн., з них з них 170,0 тис. грн. – кошти міського бюджету. На учбово-спортивну роботу ДЮСШ витрачено 282,9 тис. грн.</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На 10,4% збільшилась загальна сума на придбання спортивного обладнання та інвентарю і склала 1 млн. 206,3 тис. грн. Зокрема для спортивних шкіл, в порівнянні з попереднім роком, ця цифра збільшилась на 28,3% і склала 1 млн. 140,9 тис. грн.</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Вдвічі збільшилась сума, витрачена на утримання власних спортивних споруд ДЮСШ міста Сєвєродонецька і склала 5 млн. 280,7 тис. грн.</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Загальний обсяг фінансування розвитку матеріально-технічної бази міста Сєвєродонецька в 2012 році збільшився в 1,5 рази і склав 3 млн. 214,1 тис.грн, з них 1 млн. 206,3 тис.грн. – придбання спортивного обладнання та інвентарю і 2 млн. 7,8 тис. грн. – капітальний ремонт та реконструкція (що вдвічі більше, ніж в минулому році). З них:</w:t>
      </w:r>
    </w:p>
    <w:p w:rsidR="004566B9" w:rsidRPr="004566B9" w:rsidRDefault="004566B9" w:rsidP="004566B9">
      <w:pPr>
        <w:shd w:val="clear" w:color="auto" w:fill="FFFFFF"/>
        <w:spacing w:after="180" w:line="360" w:lineRule="atLeast"/>
        <w:ind w:left="927" w:hanging="360"/>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w:t>
      </w:r>
      <w:r w:rsidRPr="004566B9">
        <w:rPr>
          <w:rFonts w:ascii="Times New Roman" w:eastAsia="Times New Roman" w:hAnsi="Times New Roman" w:cs="Times New Roman"/>
          <w:color w:val="4A4A4A"/>
          <w:sz w:val="14"/>
          <w:szCs w:val="14"/>
          <w:lang w:val="uk-UA" w:eastAsia="ru-RU"/>
        </w:rPr>
        <w:t> </w:t>
      </w:r>
      <w:r w:rsidRPr="004566B9">
        <w:rPr>
          <w:rFonts w:ascii="Times New Roman" w:eastAsia="Times New Roman" w:hAnsi="Times New Roman" w:cs="Times New Roman"/>
          <w:color w:val="4A4A4A"/>
          <w:sz w:val="14"/>
          <w:lang w:val="uk-UA" w:eastAsia="ru-RU"/>
        </w:rPr>
        <w:t> </w:t>
      </w:r>
      <w:r w:rsidRPr="004566B9">
        <w:rPr>
          <w:rFonts w:ascii="Tahoma" w:eastAsia="Times New Roman" w:hAnsi="Tahoma" w:cs="Tahoma"/>
          <w:color w:val="4A4A4A"/>
          <w:sz w:val="15"/>
          <w:szCs w:val="15"/>
          <w:lang w:val="uk-UA" w:eastAsia="ru-RU"/>
        </w:rPr>
        <w:t>з держбюджету – 0,0тис.грн.;</w:t>
      </w:r>
    </w:p>
    <w:p w:rsidR="004566B9" w:rsidRPr="004566B9" w:rsidRDefault="004566B9" w:rsidP="004566B9">
      <w:pPr>
        <w:shd w:val="clear" w:color="auto" w:fill="FFFFFF"/>
        <w:spacing w:after="180" w:line="360" w:lineRule="atLeast"/>
        <w:ind w:left="927" w:hanging="360"/>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w:t>
      </w:r>
      <w:r w:rsidRPr="004566B9">
        <w:rPr>
          <w:rFonts w:ascii="Times New Roman" w:eastAsia="Times New Roman" w:hAnsi="Times New Roman" w:cs="Times New Roman"/>
          <w:color w:val="4A4A4A"/>
          <w:sz w:val="14"/>
          <w:szCs w:val="14"/>
          <w:lang w:val="uk-UA" w:eastAsia="ru-RU"/>
        </w:rPr>
        <w:t> </w:t>
      </w:r>
      <w:r w:rsidRPr="004566B9">
        <w:rPr>
          <w:rFonts w:ascii="Times New Roman" w:eastAsia="Times New Roman" w:hAnsi="Times New Roman" w:cs="Times New Roman"/>
          <w:color w:val="4A4A4A"/>
          <w:sz w:val="14"/>
          <w:lang w:val="uk-UA" w:eastAsia="ru-RU"/>
        </w:rPr>
        <w:t> </w:t>
      </w:r>
      <w:r w:rsidRPr="004566B9">
        <w:rPr>
          <w:rFonts w:ascii="Tahoma" w:eastAsia="Times New Roman" w:hAnsi="Tahoma" w:cs="Tahoma"/>
          <w:color w:val="4A4A4A"/>
          <w:sz w:val="15"/>
          <w:szCs w:val="15"/>
          <w:lang w:val="uk-UA" w:eastAsia="ru-RU"/>
        </w:rPr>
        <w:t>з місцевого бюджету – 2 млн. 60,1 тис. грн.;</w:t>
      </w:r>
    </w:p>
    <w:p w:rsidR="004566B9" w:rsidRPr="004566B9" w:rsidRDefault="004566B9" w:rsidP="004566B9">
      <w:pPr>
        <w:shd w:val="clear" w:color="auto" w:fill="FFFFFF"/>
        <w:spacing w:after="180" w:line="360" w:lineRule="atLeast"/>
        <w:ind w:left="927" w:hanging="360"/>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w:t>
      </w:r>
      <w:r w:rsidRPr="004566B9">
        <w:rPr>
          <w:rFonts w:ascii="Times New Roman" w:eastAsia="Times New Roman" w:hAnsi="Times New Roman" w:cs="Times New Roman"/>
          <w:color w:val="4A4A4A"/>
          <w:sz w:val="14"/>
          <w:szCs w:val="14"/>
          <w:lang w:val="uk-UA" w:eastAsia="ru-RU"/>
        </w:rPr>
        <w:t> </w:t>
      </w:r>
      <w:r w:rsidRPr="004566B9">
        <w:rPr>
          <w:rFonts w:ascii="Times New Roman" w:eastAsia="Times New Roman" w:hAnsi="Times New Roman" w:cs="Times New Roman"/>
          <w:color w:val="4A4A4A"/>
          <w:sz w:val="14"/>
          <w:lang w:val="uk-UA" w:eastAsia="ru-RU"/>
        </w:rPr>
        <w:t> </w:t>
      </w:r>
      <w:r w:rsidRPr="004566B9">
        <w:rPr>
          <w:rFonts w:ascii="Tahoma" w:eastAsia="Times New Roman" w:hAnsi="Tahoma" w:cs="Tahoma"/>
          <w:color w:val="4A4A4A"/>
          <w:sz w:val="15"/>
          <w:szCs w:val="15"/>
          <w:lang w:val="uk-UA" w:eastAsia="ru-RU"/>
        </w:rPr>
        <w:t>позабюджетні кошти – 1 млн. 154,0 тис. грн.</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b/>
          <w:bCs/>
          <w:color w:val="4A4A4A"/>
          <w:sz w:val="15"/>
          <w:szCs w:val="15"/>
          <w:lang w:val="uk-UA" w:eastAsia="ru-RU"/>
        </w:rPr>
        <w:t>5. Пропозиції щодо забезпечення подальшого виконання.</w:t>
      </w:r>
    </w:p>
    <w:p w:rsidR="004566B9" w:rsidRPr="004566B9" w:rsidRDefault="004566B9" w:rsidP="004566B9">
      <w:pPr>
        <w:shd w:val="clear" w:color="auto" w:fill="FFFFFF"/>
        <w:spacing w:after="180" w:line="360" w:lineRule="atLeast"/>
        <w:ind w:firstLine="426"/>
        <w:jc w:val="both"/>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Реалізуючи задачі даної програми, треба відзначити, що в цілому заплановані заходи в місті проводяться. З метою подальшого забезпечення виконання основних завдань можна зазначити важливість проведення масових міських спортивних заходів, що пропагують спорт і здоровий спосіб життя: спартакіади серед учнів шкіл і професійно-технічних навчальних закладів, відкриті першості міста з різних видів спорту, Олімпійські тижні і Малі Олімпійські ігри. Заохочення проведення таких заходів як традиційних стане ще одним кроком для формування традицій і культури здорового способу життя, престижу здоров’я, залученню молоді до активних занять фізичною культурою і спортом.</w:t>
      </w:r>
    </w:p>
    <w:p w:rsidR="004566B9" w:rsidRPr="004566B9" w:rsidRDefault="004566B9" w:rsidP="004566B9">
      <w:pPr>
        <w:shd w:val="clear" w:color="auto" w:fill="FFFFFF"/>
        <w:spacing w:after="180" w:line="360" w:lineRule="atLeast"/>
        <w:rPr>
          <w:rFonts w:ascii="Tahoma" w:eastAsia="Times New Roman" w:hAnsi="Tahoma" w:cs="Tahoma"/>
          <w:color w:val="4A4A4A"/>
          <w:sz w:val="15"/>
          <w:szCs w:val="15"/>
          <w:lang w:eastAsia="ru-RU"/>
        </w:rPr>
      </w:pPr>
      <w:r w:rsidRPr="004566B9">
        <w:rPr>
          <w:rFonts w:ascii="Tahoma" w:eastAsia="Times New Roman" w:hAnsi="Tahoma" w:cs="Tahoma"/>
          <w:color w:val="4A4A4A"/>
          <w:sz w:val="20"/>
          <w:szCs w:val="20"/>
          <w:lang w:val="uk-UA" w:eastAsia="ru-RU"/>
        </w:rPr>
        <w:t> </w:t>
      </w:r>
    </w:p>
    <w:p w:rsidR="004566B9" w:rsidRPr="004566B9" w:rsidRDefault="004566B9" w:rsidP="004566B9">
      <w:pPr>
        <w:shd w:val="clear" w:color="auto" w:fill="FFFFFF"/>
        <w:spacing w:after="180" w:line="360" w:lineRule="atLeast"/>
        <w:rPr>
          <w:rFonts w:ascii="Tahoma" w:eastAsia="Times New Roman" w:hAnsi="Tahoma" w:cs="Tahoma"/>
          <w:color w:val="4A4A4A"/>
          <w:sz w:val="15"/>
          <w:szCs w:val="15"/>
          <w:lang w:eastAsia="ru-RU"/>
        </w:rPr>
      </w:pPr>
      <w:r w:rsidRPr="004566B9">
        <w:rPr>
          <w:rFonts w:ascii="Tahoma" w:eastAsia="Times New Roman" w:hAnsi="Tahoma" w:cs="Tahoma"/>
          <w:color w:val="4A4A4A"/>
          <w:sz w:val="20"/>
          <w:szCs w:val="20"/>
          <w:lang w:val="uk-UA" w:eastAsia="ru-RU"/>
        </w:rPr>
        <w:lastRenderedPageBreak/>
        <w:t> </w:t>
      </w:r>
    </w:p>
    <w:p w:rsidR="004566B9" w:rsidRPr="004566B9" w:rsidRDefault="004566B9" w:rsidP="004566B9">
      <w:pPr>
        <w:shd w:val="clear" w:color="auto" w:fill="FFFFFF"/>
        <w:spacing w:after="180" w:line="360" w:lineRule="atLeast"/>
        <w:rPr>
          <w:rFonts w:ascii="Tahoma" w:eastAsia="Times New Roman" w:hAnsi="Tahoma" w:cs="Tahoma"/>
          <w:color w:val="4A4A4A"/>
          <w:sz w:val="15"/>
          <w:szCs w:val="15"/>
          <w:lang w:eastAsia="ru-RU"/>
        </w:rPr>
      </w:pPr>
      <w:r w:rsidRPr="004566B9">
        <w:rPr>
          <w:rFonts w:ascii="Tahoma" w:eastAsia="Times New Roman" w:hAnsi="Tahoma" w:cs="Tahoma"/>
          <w:color w:val="4A4A4A"/>
          <w:sz w:val="20"/>
          <w:szCs w:val="20"/>
          <w:lang w:val="uk-UA" w:eastAsia="ru-RU"/>
        </w:rPr>
        <w:t> </w:t>
      </w:r>
    </w:p>
    <w:p w:rsidR="004566B9" w:rsidRPr="004566B9" w:rsidRDefault="004566B9" w:rsidP="004566B9">
      <w:pPr>
        <w:shd w:val="clear" w:color="auto" w:fill="FFFFFF"/>
        <w:spacing w:after="180" w:line="360" w:lineRule="atLeast"/>
        <w:ind w:left="-180" w:firstLine="180"/>
        <w:rPr>
          <w:rFonts w:ascii="Tahoma" w:eastAsia="Times New Roman" w:hAnsi="Tahoma" w:cs="Tahoma"/>
          <w:color w:val="4A4A4A"/>
          <w:sz w:val="15"/>
          <w:szCs w:val="15"/>
          <w:lang w:eastAsia="ru-RU"/>
        </w:rPr>
      </w:pPr>
      <w:r w:rsidRPr="004566B9">
        <w:rPr>
          <w:rFonts w:ascii="Tahoma" w:eastAsia="Times New Roman" w:hAnsi="Tahoma" w:cs="Tahoma"/>
          <w:color w:val="4A4A4A"/>
          <w:sz w:val="15"/>
          <w:szCs w:val="15"/>
          <w:lang w:val="uk-UA" w:eastAsia="ru-RU"/>
        </w:rPr>
        <w:t>Секретар ради                                             </w:t>
      </w:r>
      <w:r w:rsidRPr="004566B9">
        <w:rPr>
          <w:rFonts w:ascii="Tahoma" w:eastAsia="Times New Roman" w:hAnsi="Tahoma" w:cs="Tahoma"/>
          <w:color w:val="4A4A4A"/>
          <w:sz w:val="15"/>
          <w:lang w:val="uk-UA" w:eastAsia="ru-RU"/>
        </w:rPr>
        <w:t> </w:t>
      </w:r>
      <w:r w:rsidRPr="004566B9">
        <w:rPr>
          <w:rFonts w:ascii="Tahoma" w:eastAsia="Times New Roman" w:hAnsi="Tahoma" w:cs="Tahoma"/>
          <w:color w:val="4A4A4A"/>
          <w:sz w:val="15"/>
          <w:szCs w:val="15"/>
          <w:lang w:val="uk-UA" w:eastAsia="ru-RU"/>
        </w:rPr>
        <w:t>                                А.А.Гавриленко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566B9"/>
    <w:rsid w:val="004566B9"/>
    <w:rsid w:val="00A17AFE"/>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4566B9"/>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66B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566B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66B9"/>
  </w:style>
  <w:style w:type="paragraph" w:styleId="a4">
    <w:name w:val="Title"/>
    <w:basedOn w:val="a"/>
    <w:link w:val="a5"/>
    <w:uiPriority w:val="10"/>
    <w:qFormat/>
    <w:rsid w:val="004566B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5">
    <w:name w:val="Название Знак"/>
    <w:basedOn w:val="a0"/>
    <w:link w:val="a4"/>
    <w:uiPriority w:val="10"/>
    <w:rsid w:val="004566B9"/>
    <w:rPr>
      <w:rFonts w:ascii="Times New Roman" w:eastAsia="Times New Roman" w:hAnsi="Times New Roman" w:cs="Times New Roman"/>
      <w:sz w:val="24"/>
      <w:szCs w:val="24"/>
      <w:lang w:eastAsia="ru-RU"/>
    </w:rPr>
  </w:style>
  <w:style w:type="character" w:styleId="a6">
    <w:name w:val="Emphasis"/>
    <w:basedOn w:val="a0"/>
    <w:uiPriority w:val="20"/>
    <w:qFormat/>
    <w:rsid w:val="004566B9"/>
    <w:rPr>
      <w:i/>
      <w:iCs/>
    </w:rPr>
  </w:style>
  <w:style w:type="character" w:styleId="a7">
    <w:name w:val="Strong"/>
    <w:basedOn w:val="a0"/>
    <w:uiPriority w:val="22"/>
    <w:qFormat/>
    <w:rsid w:val="004566B9"/>
    <w:rPr>
      <w:b/>
      <w:bCs/>
    </w:rPr>
  </w:style>
  <w:style w:type="paragraph" w:customStyle="1" w:styleId="a00">
    <w:name w:val="a0"/>
    <w:basedOn w:val="a"/>
    <w:rsid w:val="004566B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10">
    <w:name w:val="a1"/>
    <w:basedOn w:val="a"/>
    <w:rsid w:val="004566B9"/>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183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3421</Words>
  <Characters>19504</Characters>
  <Application>Microsoft Office Word</Application>
  <DocSecurity>0</DocSecurity>
  <Lines>162</Lines>
  <Paragraphs>45</Paragraphs>
  <ScaleCrop>false</ScaleCrop>
  <Company>Северодонецкие вести</Company>
  <LinksUpToDate>false</LinksUpToDate>
  <CharactersWithSpaces>22880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2016-05-16T11:50:00Z</dcterms:created>
  <dcterms:modified xsi:type="dcterms:W3CDTF">2016-05-16T11:50:00Z</dcterms:modified>
</cp:coreProperties>
</file>