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A17" w:rsidRPr="001A6A17" w:rsidRDefault="001A6A17" w:rsidP="001A6A17">
      <w:pPr>
        <w:shd w:val="clear" w:color="auto" w:fill="FFFFFF"/>
        <w:spacing w:after="180" w:line="360" w:lineRule="atLeast"/>
        <w:ind w:firstLine="567"/>
        <w:jc w:val="center"/>
        <w:rPr>
          <w:rFonts w:ascii="Tahoma" w:eastAsia="Times New Roman" w:hAnsi="Tahoma" w:cs="Tahoma"/>
          <w:color w:val="4A4A4A"/>
          <w:sz w:val="11"/>
          <w:szCs w:val="11"/>
          <w:lang w:eastAsia="ru-RU"/>
        </w:rPr>
      </w:pPr>
      <w:r w:rsidRPr="001A6A17">
        <w:rPr>
          <w:rFonts w:ascii="Tahoma" w:eastAsia="Times New Roman" w:hAnsi="Tahoma" w:cs="Tahoma"/>
          <w:b/>
          <w:bCs/>
          <w:color w:val="4A4A4A"/>
          <w:sz w:val="28"/>
          <w:szCs w:val="28"/>
          <w:lang w:val="uk-UA" w:eastAsia="ru-RU"/>
        </w:rPr>
        <w:t>СЄВЄРОДОНЕЦЬКА МІСЬКА РАДА</w:t>
      </w:r>
    </w:p>
    <w:p w:rsidR="001A6A17" w:rsidRPr="001A6A17" w:rsidRDefault="001A6A17" w:rsidP="001A6A17">
      <w:pPr>
        <w:shd w:val="clear" w:color="auto" w:fill="FFFFFF"/>
        <w:spacing w:after="180" w:line="360" w:lineRule="atLeast"/>
        <w:ind w:firstLine="567"/>
        <w:jc w:val="center"/>
        <w:rPr>
          <w:rFonts w:ascii="Tahoma" w:eastAsia="Times New Roman" w:hAnsi="Tahoma" w:cs="Tahoma"/>
          <w:color w:val="4A4A4A"/>
          <w:sz w:val="11"/>
          <w:szCs w:val="11"/>
          <w:lang w:eastAsia="ru-RU"/>
        </w:rPr>
      </w:pPr>
      <w:r w:rsidRPr="001A6A17">
        <w:rPr>
          <w:rFonts w:ascii="Tahoma" w:eastAsia="Times New Roman" w:hAnsi="Tahoma" w:cs="Tahoma"/>
          <w:b/>
          <w:bCs/>
          <w:color w:val="4A4A4A"/>
          <w:sz w:val="28"/>
          <w:szCs w:val="28"/>
          <w:lang w:val="uk-UA" w:eastAsia="ru-RU"/>
        </w:rPr>
        <w:t>ШОСТОГО С КЛИКАННЯ</w:t>
      </w:r>
    </w:p>
    <w:p w:rsidR="001A6A17" w:rsidRPr="001A6A17" w:rsidRDefault="001A6A17" w:rsidP="001A6A17">
      <w:pPr>
        <w:shd w:val="clear" w:color="auto" w:fill="FFFFFF"/>
        <w:spacing w:after="180" w:line="360" w:lineRule="atLeast"/>
        <w:ind w:firstLine="567"/>
        <w:jc w:val="center"/>
        <w:rPr>
          <w:rFonts w:ascii="Tahoma" w:eastAsia="Times New Roman" w:hAnsi="Tahoma" w:cs="Tahoma"/>
          <w:color w:val="4A4A4A"/>
          <w:sz w:val="11"/>
          <w:szCs w:val="11"/>
          <w:lang w:eastAsia="ru-RU"/>
        </w:rPr>
      </w:pPr>
      <w:r w:rsidRPr="001A6A17">
        <w:rPr>
          <w:rFonts w:ascii="Tahoma" w:eastAsia="Times New Roman" w:hAnsi="Tahoma" w:cs="Tahoma"/>
          <w:b/>
          <w:bCs/>
          <w:color w:val="4A4A4A"/>
          <w:sz w:val="28"/>
          <w:szCs w:val="28"/>
          <w:lang w:val="uk-UA" w:eastAsia="ru-RU"/>
        </w:rPr>
        <w:t>шістдесят перша (чергова) сесія</w:t>
      </w:r>
    </w:p>
    <w:p w:rsidR="001A6A17" w:rsidRPr="001A6A17" w:rsidRDefault="001A6A17" w:rsidP="001A6A17">
      <w:pPr>
        <w:shd w:val="clear" w:color="auto" w:fill="FFFFFF"/>
        <w:spacing w:after="180" w:line="360" w:lineRule="atLeast"/>
        <w:ind w:firstLine="567"/>
        <w:jc w:val="center"/>
        <w:rPr>
          <w:rFonts w:ascii="Tahoma" w:eastAsia="Times New Roman" w:hAnsi="Tahoma" w:cs="Tahoma"/>
          <w:color w:val="4A4A4A"/>
          <w:sz w:val="11"/>
          <w:szCs w:val="11"/>
          <w:lang w:eastAsia="ru-RU"/>
        </w:rPr>
      </w:pPr>
      <w:r w:rsidRPr="001A6A17">
        <w:rPr>
          <w:rFonts w:ascii="Tahoma" w:eastAsia="Times New Roman" w:hAnsi="Tahoma" w:cs="Tahoma"/>
          <w:b/>
          <w:bCs/>
          <w:color w:val="4A4A4A"/>
          <w:sz w:val="28"/>
          <w:szCs w:val="28"/>
          <w:lang w:val="uk-UA" w:eastAsia="ru-RU"/>
        </w:rPr>
        <w:t> </w:t>
      </w:r>
    </w:p>
    <w:p w:rsidR="001A6A17" w:rsidRPr="001A6A17" w:rsidRDefault="001A6A17" w:rsidP="001A6A17">
      <w:pPr>
        <w:shd w:val="clear" w:color="auto" w:fill="FFFFFF"/>
        <w:spacing w:after="180" w:line="360" w:lineRule="atLeast"/>
        <w:ind w:firstLine="567"/>
        <w:jc w:val="center"/>
        <w:rPr>
          <w:rFonts w:ascii="Tahoma" w:eastAsia="Times New Roman" w:hAnsi="Tahoma" w:cs="Tahoma"/>
          <w:color w:val="4A4A4A"/>
          <w:sz w:val="11"/>
          <w:szCs w:val="11"/>
          <w:lang w:eastAsia="ru-RU"/>
        </w:rPr>
      </w:pPr>
      <w:r w:rsidRPr="001A6A17">
        <w:rPr>
          <w:rFonts w:ascii="Tahoma" w:eastAsia="Times New Roman" w:hAnsi="Tahoma" w:cs="Tahoma"/>
          <w:b/>
          <w:bCs/>
          <w:color w:val="4A4A4A"/>
          <w:sz w:val="28"/>
          <w:szCs w:val="28"/>
          <w:lang w:val="uk-UA" w:eastAsia="ru-RU"/>
        </w:rPr>
        <w:t>РІШЕННЯ №2622</w:t>
      </w:r>
    </w:p>
    <w:p w:rsidR="001A6A17" w:rsidRPr="001A6A17" w:rsidRDefault="001A6A17" w:rsidP="001A6A17">
      <w:pPr>
        <w:shd w:val="clear" w:color="auto" w:fill="FFFFFF"/>
        <w:spacing w:after="180" w:line="360" w:lineRule="atLeast"/>
        <w:ind w:firstLine="567"/>
        <w:jc w:val="center"/>
        <w:rPr>
          <w:rFonts w:ascii="Tahoma" w:eastAsia="Times New Roman" w:hAnsi="Tahoma" w:cs="Tahoma"/>
          <w:color w:val="4A4A4A"/>
          <w:sz w:val="11"/>
          <w:szCs w:val="11"/>
          <w:lang w:eastAsia="ru-RU"/>
        </w:rPr>
      </w:pPr>
      <w:r w:rsidRPr="001A6A17">
        <w:rPr>
          <w:rFonts w:ascii="Tahoma" w:eastAsia="Times New Roman" w:hAnsi="Tahoma" w:cs="Tahoma"/>
          <w:b/>
          <w:bCs/>
          <w:color w:val="4A4A4A"/>
          <w:sz w:val="24"/>
          <w:szCs w:val="24"/>
          <w:lang w:val="uk-UA" w:eastAsia="ru-RU"/>
        </w:rPr>
        <w:t> </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«30» квітня  2013 року</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м.Сєвєродонецьк</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w:t>
      </w:r>
    </w:p>
    <w:p w:rsidR="001A6A17" w:rsidRPr="001A6A17" w:rsidRDefault="001A6A17" w:rsidP="001A6A17">
      <w:pPr>
        <w:shd w:val="clear" w:color="auto" w:fill="FFFFFF"/>
        <w:spacing w:after="60"/>
        <w:outlineLvl w:val="1"/>
        <w:rPr>
          <w:rFonts w:ascii="Tahoma" w:eastAsia="Times New Roman" w:hAnsi="Tahoma" w:cs="Tahoma"/>
          <w:b/>
          <w:bCs/>
          <w:color w:val="4A4A4A"/>
          <w:sz w:val="31"/>
          <w:szCs w:val="31"/>
          <w:lang w:eastAsia="ru-RU"/>
        </w:rPr>
      </w:pPr>
      <w:r w:rsidRPr="001A6A17">
        <w:rPr>
          <w:rFonts w:ascii="Tahoma" w:eastAsia="Times New Roman" w:hAnsi="Tahoma" w:cs="Tahoma"/>
          <w:b/>
          <w:bCs/>
          <w:color w:val="4A4A4A"/>
          <w:sz w:val="31"/>
          <w:szCs w:val="31"/>
          <w:lang w:eastAsia="ru-RU"/>
        </w:rPr>
        <w:t>Про хід виконання рішення 13-ї сесії міської ради VI скликання № 444 від 28.04.2011р. «Про затвердження міської програми підготовки кваліфікованих кадрів на 2011-2015 р.р.» за 2012 рік</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На підставі статей 26, 27, 32 закону України «Про місцеве самоврядування в Україні» та розглянувши хід виконання  міської Програми підготовки кваліфікованих кадрів на 2011-2015 роки за 2012 рік, Сєвєродонецька міська рада</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Bookman Old Style" w:eastAsia="Times New Roman" w:hAnsi="Bookman Old Style" w:cs="Tahoma"/>
          <w:color w:val="4A4A4A"/>
          <w:sz w:val="24"/>
          <w:szCs w:val="24"/>
          <w:lang w:val="uk-UA" w:eastAsia="ru-RU"/>
        </w:rPr>
        <w:t> </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Bookman Old Style" w:eastAsia="Times New Roman" w:hAnsi="Bookman Old Style" w:cs="Tahoma"/>
          <w:color w:val="4A4A4A"/>
          <w:sz w:val="24"/>
          <w:szCs w:val="24"/>
          <w:lang w:val="uk-UA" w:eastAsia="ru-RU"/>
        </w:rPr>
        <w:t> </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b/>
          <w:bCs/>
          <w:color w:val="4A4A4A"/>
          <w:sz w:val="24"/>
          <w:szCs w:val="24"/>
          <w:lang w:val="uk-UA" w:eastAsia="ru-RU"/>
        </w:rPr>
        <w:t>ВИРІШИЛА:</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b/>
          <w:bCs/>
          <w:color w:val="4A4A4A"/>
          <w:sz w:val="24"/>
          <w:szCs w:val="24"/>
          <w:lang w:val="uk-UA" w:eastAsia="ru-RU"/>
        </w:rPr>
        <w:t> </w:t>
      </w:r>
    </w:p>
    <w:p w:rsidR="001A6A17" w:rsidRPr="001A6A17" w:rsidRDefault="001A6A17" w:rsidP="001A6A17">
      <w:pPr>
        <w:shd w:val="clear" w:color="auto" w:fill="FFFFFF"/>
        <w:spacing w:after="180" w:line="360" w:lineRule="atLeast"/>
        <w:ind w:left="720" w:hanging="360"/>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1.      Прийняти до відома інформацію про хід виконання міської Програми підготовки кваліфікованих кадрів на 2011-2015 роки за 2012 рік (додаток).</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2.      Дане рішення підлягає оприлюдненню.</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3.      Контроль за виконанням цього рішення покласти на постійну комісію з гуманітарних питань: освіти, культури, духовності, спорту, молодіжної політики.</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24"/>
          <w:szCs w:val="24"/>
          <w:lang w:val="uk-UA" w:eastAsia="ru-RU"/>
        </w:rPr>
        <w:t> </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24"/>
          <w:szCs w:val="24"/>
          <w:lang w:val="uk-UA" w:eastAsia="ru-RU"/>
        </w:rPr>
        <w:t> </w:t>
      </w:r>
    </w:p>
    <w:p w:rsidR="001A6A17" w:rsidRPr="001A6A17" w:rsidRDefault="001A6A17" w:rsidP="001A6A17">
      <w:pPr>
        <w:shd w:val="clear" w:color="auto" w:fill="FFFFFF"/>
        <w:spacing w:after="180" w:line="166" w:lineRule="atLeast"/>
        <w:rPr>
          <w:rFonts w:ascii="Tahoma" w:eastAsia="Times New Roman" w:hAnsi="Tahoma" w:cs="Tahoma"/>
          <w:color w:val="4A4A4A"/>
          <w:sz w:val="11"/>
          <w:szCs w:val="11"/>
          <w:lang w:eastAsia="ru-RU"/>
        </w:rPr>
      </w:pPr>
      <w:r w:rsidRPr="001A6A17">
        <w:rPr>
          <w:rFonts w:ascii="Tahoma" w:eastAsia="Times New Roman" w:hAnsi="Tahoma" w:cs="Tahoma"/>
          <w:b/>
          <w:bCs/>
          <w:color w:val="4A4A4A"/>
          <w:sz w:val="24"/>
          <w:szCs w:val="24"/>
          <w:lang w:val="uk-UA" w:eastAsia="ru-RU"/>
        </w:rPr>
        <w:lastRenderedPageBreak/>
        <w:t> </w:t>
      </w:r>
    </w:p>
    <w:p w:rsidR="001A6A17" w:rsidRPr="001A6A17" w:rsidRDefault="001A6A17" w:rsidP="001A6A17">
      <w:pPr>
        <w:shd w:val="clear" w:color="auto" w:fill="FFFFFF"/>
        <w:spacing w:after="180" w:line="166" w:lineRule="atLeast"/>
        <w:rPr>
          <w:rFonts w:ascii="Tahoma" w:eastAsia="Times New Roman" w:hAnsi="Tahoma" w:cs="Tahoma"/>
          <w:color w:val="4A4A4A"/>
          <w:sz w:val="11"/>
          <w:szCs w:val="11"/>
          <w:lang w:eastAsia="ru-RU"/>
        </w:rPr>
      </w:pPr>
      <w:r w:rsidRPr="001A6A17">
        <w:rPr>
          <w:rFonts w:ascii="Tahoma" w:eastAsia="Times New Roman" w:hAnsi="Tahoma" w:cs="Tahoma"/>
          <w:b/>
          <w:bCs/>
          <w:color w:val="4A4A4A"/>
          <w:sz w:val="24"/>
          <w:szCs w:val="24"/>
          <w:lang w:val="uk-UA" w:eastAsia="ru-RU"/>
        </w:rPr>
        <w:t> </w:t>
      </w:r>
    </w:p>
    <w:p w:rsidR="001A6A17" w:rsidRPr="001A6A17" w:rsidRDefault="001A6A17" w:rsidP="001A6A17">
      <w:pPr>
        <w:shd w:val="clear" w:color="auto" w:fill="FFFFFF"/>
        <w:spacing w:after="240" w:line="166" w:lineRule="atLeast"/>
        <w:rPr>
          <w:rFonts w:ascii="Tahoma" w:eastAsia="Times New Roman" w:hAnsi="Tahoma" w:cs="Tahoma"/>
          <w:color w:val="4A4A4A"/>
          <w:sz w:val="11"/>
          <w:szCs w:val="11"/>
          <w:lang w:eastAsia="ru-RU"/>
        </w:rPr>
      </w:pPr>
      <w:r w:rsidRPr="001A6A17">
        <w:rPr>
          <w:rFonts w:ascii="Tahoma" w:eastAsia="Times New Roman" w:hAnsi="Tahoma" w:cs="Tahoma"/>
          <w:b/>
          <w:bCs/>
          <w:color w:val="4A4A4A"/>
          <w:sz w:val="24"/>
          <w:szCs w:val="24"/>
          <w:lang w:val="uk-UA" w:eastAsia="ru-RU"/>
        </w:rPr>
        <w:t>Міський голова                                                                                                        В.В.Казаков</w:t>
      </w:r>
      <w:r w:rsidRPr="001A6A17">
        <w:rPr>
          <w:rFonts w:ascii="Tahoma" w:eastAsia="Times New Roman" w:hAnsi="Tahoma" w:cs="Tahoma"/>
          <w:b/>
          <w:bCs/>
          <w:color w:val="4A4A4A"/>
          <w:sz w:val="24"/>
          <w:szCs w:val="24"/>
          <w:lang w:val="uk-UA" w:eastAsia="ru-RU"/>
        </w:rPr>
        <w:br/>
      </w:r>
      <w:r w:rsidRPr="001A6A17">
        <w:rPr>
          <w:rFonts w:ascii="Tahoma" w:eastAsia="Times New Roman" w:hAnsi="Tahoma" w:cs="Tahoma"/>
          <w:b/>
          <w:bCs/>
          <w:color w:val="4A4A4A"/>
          <w:sz w:val="24"/>
          <w:szCs w:val="24"/>
          <w:lang w:val="uk-UA" w:eastAsia="ru-RU"/>
        </w:rPr>
        <w:br/>
      </w:r>
    </w:p>
    <w:p w:rsidR="001A6A17" w:rsidRPr="001A6A17" w:rsidRDefault="001A6A17" w:rsidP="001A6A17">
      <w:pPr>
        <w:shd w:val="clear" w:color="auto" w:fill="FFFFFF"/>
        <w:spacing w:after="180" w:line="360" w:lineRule="atLeast"/>
        <w:ind w:firstLine="567"/>
        <w:jc w:val="center"/>
        <w:rPr>
          <w:rFonts w:ascii="Tahoma" w:eastAsia="Times New Roman" w:hAnsi="Tahoma" w:cs="Tahoma"/>
          <w:color w:val="4A4A4A"/>
          <w:sz w:val="11"/>
          <w:szCs w:val="11"/>
          <w:lang w:eastAsia="ru-RU"/>
        </w:rPr>
      </w:pPr>
      <w:r w:rsidRPr="001A6A17">
        <w:rPr>
          <w:rFonts w:ascii="Bookman Old Style" w:eastAsia="Times New Roman" w:hAnsi="Bookman Old Style" w:cs="Tahoma"/>
          <w:color w:val="4A4A4A"/>
          <w:lang w:val="en-US" w:eastAsia="ru-RU"/>
        </w:rPr>
        <w:t> </w:t>
      </w:r>
    </w:p>
    <w:p w:rsidR="001A6A17" w:rsidRPr="001A6A17" w:rsidRDefault="001A6A17" w:rsidP="001A6A17">
      <w:pPr>
        <w:shd w:val="clear" w:color="auto" w:fill="FFFFFF"/>
        <w:spacing w:after="180" w:line="360" w:lineRule="atLeast"/>
        <w:ind w:firstLine="6804"/>
        <w:jc w:val="right"/>
        <w:rPr>
          <w:rFonts w:ascii="Tahoma" w:eastAsia="Times New Roman" w:hAnsi="Tahoma" w:cs="Tahoma"/>
          <w:color w:val="4A4A4A"/>
          <w:sz w:val="11"/>
          <w:szCs w:val="11"/>
          <w:lang w:eastAsia="ru-RU"/>
        </w:rPr>
      </w:pPr>
      <w:r w:rsidRPr="001A6A17">
        <w:rPr>
          <w:rFonts w:ascii="Tahoma" w:eastAsia="Times New Roman" w:hAnsi="Tahoma" w:cs="Tahoma"/>
          <w:i/>
          <w:iCs/>
          <w:color w:val="4A4A4A"/>
          <w:sz w:val="11"/>
          <w:lang w:eastAsia="ru-RU"/>
        </w:rPr>
        <w:t>Додаток</w:t>
      </w:r>
    </w:p>
    <w:p w:rsidR="001A6A17" w:rsidRPr="001A6A17" w:rsidRDefault="001A6A17" w:rsidP="001A6A17">
      <w:pPr>
        <w:shd w:val="clear" w:color="auto" w:fill="FFFFFF"/>
        <w:spacing w:after="180" w:line="360" w:lineRule="atLeast"/>
        <w:jc w:val="right"/>
        <w:rPr>
          <w:rFonts w:ascii="Tahoma" w:eastAsia="Times New Roman" w:hAnsi="Tahoma" w:cs="Tahoma"/>
          <w:color w:val="4A4A4A"/>
          <w:sz w:val="11"/>
          <w:szCs w:val="11"/>
          <w:lang w:eastAsia="ru-RU"/>
        </w:rPr>
      </w:pPr>
      <w:r w:rsidRPr="001A6A17">
        <w:rPr>
          <w:rFonts w:ascii="Tahoma" w:eastAsia="Times New Roman" w:hAnsi="Tahoma" w:cs="Tahoma"/>
          <w:i/>
          <w:iCs/>
          <w:color w:val="4A4A4A"/>
          <w:sz w:val="11"/>
          <w:lang w:eastAsia="ru-RU"/>
        </w:rPr>
        <w:t>до рішення  61чергової сесії</w:t>
      </w:r>
    </w:p>
    <w:p w:rsidR="001A6A17" w:rsidRPr="001A6A17" w:rsidRDefault="001A6A17" w:rsidP="001A6A17">
      <w:pPr>
        <w:shd w:val="clear" w:color="auto" w:fill="FFFFFF"/>
        <w:spacing w:after="180" w:line="360" w:lineRule="atLeast"/>
        <w:jc w:val="right"/>
        <w:rPr>
          <w:rFonts w:ascii="Tahoma" w:eastAsia="Times New Roman" w:hAnsi="Tahoma" w:cs="Tahoma"/>
          <w:color w:val="4A4A4A"/>
          <w:sz w:val="11"/>
          <w:szCs w:val="11"/>
          <w:lang w:eastAsia="ru-RU"/>
        </w:rPr>
      </w:pPr>
      <w:r w:rsidRPr="001A6A17">
        <w:rPr>
          <w:rFonts w:ascii="Tahoma" w:eastAsia="Times New Roman" w:hAnsi="Tahoma" w:cs="Tahoma"/>
          <w:i/>
          <w:iCs/>
          <w:color w:val="4A4A4A"/>
          <w:sz w:val="11"/>
          <w:lang w:eastAsia="ru-RU"/>
        </w:rPr>
        <w:t>міської ради</w:t>
      </w:r>
    </w:p>
    <w:p w:rsidR="001A6A17" w:rsidRPr="001A6A17" w:rsidRDefault="001A6A17" w:rsidP="001A6A17">
      <w:pPr>
        <w:shd w:val="clear" w:color="auto" w:fill="FFFFFF"/>
        <w:spacing w:after="180" w:line="360" w:lineRule="atLeast"/>
        <w:jc w:val="right"/>
        <w:rPr>
          <w:rFonts w:ascii="Tahoma" w:eastAsia="Times New Roman" w:hAnsi="Tahoma" w:cs="Tahoma"/>
          <w:color w:val="4A4A4A"/>
          <w:sz w:val="11"/>
          <w:szCs w:val="11"/>
          <w:lang w:eastAsia="ru-RU"/>
        </w:rPr>
      </w:pPr>
      <w:r w:rsidRPr="001A6A17">
        <w:rPr>
          <w:rFonts w:ascii="Tahoma" w:eastAsia="Times New Roman" w:hAnsi="Tahoma" w:cs="Tahoma"/>
          <w:i/>
          <w:iCs/>
          <w:color w:val="4A4A4A"/>
          <w:sz w:val="11"/>
          <w:lang w:eastAsia="ru-RU"/>
        </w:rPr>
        <w:t>від  « 30 » квітня 2013р. №  2622</w:t>
      </w:r>
    </w:p>
    <w:p w:rsidR="001A6A17" w:rsidRPr="001A6A17" w:rsidRDefault="001A6A17" w:rsidP="001A6A17">
      <w:pPr>
        <w:shd w:val="clear" w:color="auto" w:fill="FFFFFF"/>
        <w:spacing w:after="180" w:line="360" w:lineRule="atLeast"/>
        <w:ind w:firstLine="6946"/>
        <w:rPr>
          <w:rFonts w:ascii="Tahoma" w:eastAsia="Times New Roman" w:hAnsi="Tahoma" w:cs="Tahoma"/>
          <w:color w:val="4A4A4A"/>
          <w:sz w:val="11"/>
          <w:szCs w:val="11"/>
          <w:lang w:eastAsia="ru-RU"/>
        </w:rPr>
      </w:pPr>
      <w:r w:rsidRPr="001A6A17">
        <w:rPr>
          <w:rFonts w:ascii="Tahoma" w:eastAsia="Times New Roman" w:hAnsi="Tahoma" w:cs="Tahoma"/>
          <w:color w:val="4A4A4A"/>
          <w:sz w:val="24"/>
          <w:szCs w:val="24"/>
          <w:lang w:val="uk-UA" w:eastAsia="ru-RU"/>
        </w:rPr>
        <w:t> </w:t>
      </w:r>
    </w:p>
    <w:p w:rsidR="001A6A17" w:rsidRPr="001A6A17" w:rsidRDefault="001A6A17" w:rsidP="001A6A17">
      <w:pPr>
        <w:shd w:val="clear" w:color="auto" w:fill="FFFFFF"/>
        <w:spacing w:after="180" w:line="360" w:lineRule="atLeast"/>
        <w:ind w:firstLine="567"/>
        <w:jc w:val="center"/>
        <w:rPr>
          <w:rFonts w:ascii="Tahoma" w:eastAsia="Times New Roman" w:hAnsi="Tahoma" w:cs="Tahoma"/>
          <w:color w:val="4A4A4A"/>
          <w:sz w:val="11"/>
          <w:szCs w:val="11"/>
          <w:lang w:eastAsia="ru-RU"/>
        </w:rPr>
      </w:pPr>
      <w:r w:rsidRPr="001A6A17">
        <w:rPr>
          <w:rFonts w:ascii="Bookman Old Style" w:eastAsia="Times New Roman" w:hAnsi="Bookman Old Style" w:cs="Tahoma"/>
          <w:color w:val="4A4A4A"/>
          <w:sz w:val="24"/>
          <w:szCs w:val="24"/>
          <w:lang w:eastAsia="ru-RU"/>
        </w:rPr>
        <w:t> </w:t>
      </w:r>
    </w:p>
    <w:p w:rsidR="001A6A17" w:rsidRPr="001A6A17" w:rsidRDefault="001A6A17" w:rsidP="001A6A17">
      <w:pPr>
        <w:shd w:val="clear" w:color="auto" w:fill="FFFFFF"/>
        <w:spacing w:after="180" w:line="360" w:lineRule="atLeast"/>
        <w:ind w:firstLine="567"/>
        <w:jc w:val="center"/>
        <w:rPr>
          <w:rFonts w:ascii="Tahoma" w:eastAsia="Times New Roman" w:hAnsi="Tahoma" w:cs="Tahoma"/>
          <w:color w:val="4A4A4A"/>
          <w:sz w:val="11"/>
          <w:szCs w:val="11"/>
          <w:lang w:eastAsia="ru-RU"/>
        </w:rPr>
      </w:pPr>
      <w:r w:rsidRPr="001A6A17">
        <w:rPr>
          <w:rFonts w:ascii="Bookman Old Style" w:eastAsia="Times New Roman" w:hAnsi="Bookman Old Style" w:cs="Tahoma"/>
          <w:color w:val="4A4A4A"/>
          <w:sz w:val="24"/>
          <w:szCs w:val="24"/>
          <w:lang w:eastAsia="ru-RU"/>
        </w:rPr>
        <w:t> </w:t>
      </w:r>
    </w:p>
    <w:p w:rsidR="001A6A17" w:rsidRPr="001A6A17" w:rsidRDefault="001A6A17" w:rsidP="001A6A17">
      <w:pPr>
        <w:shd w:val="clear" w:color="auto" w:fill="FFFFFF"/>
        <w:spacing w:after="180" w:line="360" w:lineRule="atLeast"/>
        <w:ind w:firstLine="567"/>
        <w:jc w:val="center"/>
        <w:rPr>
          <w:rFonts w:ascii="Tahoma" w:eastAsia="Times New Roman" w:hAnsi="Tahoma" w:cs="Tahoma"/>
          <w:color w:val="4A4A4A"/>
          <w:sz w:val="11"/>
          <w:szCs w:val="11"/>
          <w:lang w:eastAsia="ru-RU"/>
        </w:rPr>
      </w:pPr>
      <w:r w:rsidRPr="001A6A17">
        <w:rPr>
          <w:rFonts w:ascii="Tahoma" w:eastAsia="Times New Roman" w:hAnsi="Tahoma" w:cs="Tahoma"/>
          <w:b/>
          <w:bCs/>
          <w:color w:val="4A4A4A"/>
          <w:sz w:val="24"/>
          <w:szCs w:val="24"/>
          <w:lang w:val="uk-UA" w:eastAsia="ru-RU"/>
        </w:rPr>
        <w:t>Інформація</w:t>
      </w:r>
    </w:p>
    <w:p w:rsidR="001A6A17" w:rsidRPr="001A6A17" w:rsidRDefault="001A6A17" w:rsidP="001A6A17">
      <w:pPr>
        <w:shd w:val="clear" w:color="auto" w:fill="FFFFFF"/>
        <w:spacing w:after="180" w:line="360" w:lineRule="atLeast"/>
        <w:ind w:firstLine="567"/>
        <w:jc w:val="center"/>
        <w:rPr>
          <w:rFonts w:ascii="Tahoma" w:eastAsia="Times New Roman" w:hAnsi="Tahoma" w:cs="Tahoma"/>
          <w:color w:val="4A4A4A"/>
          <w:sz w:val="11"/>
          <w:szCs w:val="11"/>
          <w:lang w:eastAsia="ru-RU"/>
        </w:rPr>
      </w:pPr>
      <w:r w:rsidRPr="001A6A17">
        <w:rPr>
          <w:rFonts w:ascii="Tahoma" w:eastAsia="Times New Roman" w:hAnsi="Tahoma" w:cs="Tahoma"/>
          <w:b/>
          <w:bCs/>
          <w:color w:val="4A4A4A"/>
          <w:sz w:val="24"/>
          <w:szCs w:val="24"/>
          <w:lang w:val="uk-UA" w:eastAsia="ru-RU"/>
        </w:rPr>
        <w:t>про хід виконання міської Програми підготовки кваліфікованих кадрів</w:t>
      </w:r>
    </w:p>
    <w:p w:rsidR="001A6A17" w:rsidRPr="001A6A17" w:rsidRDefault="001A6A17" w:rsidP="001A6A17">
      <w:pPr>
        <w:shd w:val="clear" w:color="auto" w:fill="FFFFFF"/>
        <w:spacing w:after="180" w:line="360" w:lineRule="atLeast"/>
        <w:ind w:firstLine="567"/>
        <w:jc w:val="center"/>
        <w:rPr>
          <w:rFonts w:ascii="Tahoma" w:eastAsia="Times New Roman" w:hAnsi="Tahoma" w:cs="Tahoma"/>
          <w:color w:val="4A4A4A"/>
          <w:sz w:val="11"/>
          <w:szCs w:val="11"/>
          <w:lang w:eastAsia="ru-RU"/>
        </w:rPr>
      </w:pPr>
      <w:r w:rsidRPr="001A6A17">
        <w:rPr>
          <w:rFonts w:ascii="Tahoma" w:eastAsia="Times New Roman" w:hAnsi="Tahoma" w:cs="Tahoma"/>
          <w:b/>
          <w:bCs/>
          <w:color w:val="4A4A4A"/>
          <w:sz w:val="24"/>
          <w:szCs w:val="24"/>
          <w:lang w:val="uk-UA" w:eastAsia="ru-RU"/>
        </w:rPr>
        <w:t>на 2011-2015 роки  за 2012 рік.</w:t>
      </w:r>
    </w:p>
    <w:p w:rsidR="001A6A17" w:rsidRPr="001A6A17" w:rsidRDefault="001A6A17" w:rsidP="001A6A17">
      <w:pPr>
        <w:shd w:val="clear" w:color="auto" w:fill="FFFFFF"/>
        <w:spacing w:after="180" w:line="360" w:lineRule="atLeast"/>
        <w:ind w:firstLine="567"/>
        <w:jc w:val="center"/>
        <w:rPr>
          <w:rFonts w:ascii="Tahoma" w:eastAsia="Times New Roman" w:hAnsi="Tahoma" w:cs="Tahoma"/>
          <w:color w:val="4A4A4A"/>
          <w:sz w:val="11"/>
          <w:szCs w:val="11"/>
          <w:lang w:eastAsia="ru-RU"/>
        </w:rPr>
      </w:pPr>
      <w:r w:rsidRPr="001A6A17">
        <w:rPr>
          <w:rFonts w:ascii="Bookman Old Style" w:eastAsia="Times New Roman" w:hAnsi="Bookman Old Style" w:cs="Tahoma"/>
          <w:color w:val="4A4A4A"/>
          <w:sz w:val="24"/>
          <w:szCs w:val="24"/>
          <w:lang w:val="uk-UA" w:eastAsia="ru-RU"/>
        </w:rPr>
        <w:t> </w:t>
      </w:r>
    </w:p>
    <w:p w:rsidR="001A6A17" w:rsidRPr="001A6A17" w:rsidRDefault="001A6A17" w:rsidP="001A6A17">
      <w:pPr>
        <w:shd w:val="clear" w:color="auto" w:fill="FFFFFF"/>
        <w:spacing w:after="180" w:line="360" w:lineRule="atLeast"/>
        <w:ind w:left="927" w:hanging="360"/>
        <w:rPr>
          <w:rFonts w:ascii="Tahoma" w:eastAsia="Times New Roman" w:hAnsi="Tahoma" w:cs="Tahoma"/>
          <w:color w:val="4A4A4A"/>
          <w:sz w:val="11"/>
          <w:szCs w:val="11"/>
          <w:lang w:eastAsia="ru-RU"/>
        </w:rPr>
      </w:pPr>
      <w:r w:rsidRPr="001A6A17">
        <w:rPr>
          <w:rFonts w:ascii="Tahoma" w:eastAsia="Times New Roman" w:hAnsi="Tahoma" w:cs="Tahoma"/>
          <w:b/>
          <w:bCs/>
          <w:color w:val="4A4A4A"/>
          <w:sz w:val="24"/>
          <w:szCs w:val="24"/>
          <w:lang w:val="uk-UA" w:eastAsia="ru-RU"/>
        </w:rPr>
        <w:t>1.</w:t>
      </w:r>
      <w:r w:rsidRPr="001A6A17">
        <w:rPr>
          <w:rFonts w:ascii="Times New Roman" w:eastAsia="Times New Roman" w:hAnsi="Times New Roman" w:cs="Times New Roman"/>
          <w:color w:val="4A4A4A"/>
          <w:sz w:val="14"/>
          <w:szCs w:val="14"/>
          <w:lang w:val="uk-UA" w:eastAsia="ru-RU"/>
        </w:rPr>
        <w:t>     </w:t>
      </w:r>
      <w:r w:rsidRPr="001A6A17">
        <w:rPr>
          <w:rFonts w:ascii="Times New Roman" w:eastAsia="Times New Roman" w:hAnsi="Times New Roman" w:cs="Times New Roman"/>
          <w:color w:val="4A4A4A"/>
          <w:sz w:val="14"/>
          <w:lang w:val="uk-UA" w:eastAsia="ru-RU"/>
        </w:rPr>
        <w:t> </w:t>
      </w:r>
      <w:r w:rsidRPr="001A6A17">
        <w:rPr>
          <w:rFonts w:ascii="Tahoma" w:eastAsia="Times New Roman" w:hAnsi="Tahoma" w:cs="Tahoma"/>
          <w:b/>
          <w:bCs/>
          <w:color w:val="4A4A4A"/>
          <w:sz w:val="24"/>
          <w:szCs w:val="24"/>
          <w:lang w:val="uk-UA" w:eastAsia="ru-RU"/>
        </w:rPr>
        <w:t>Основні дані.</w:t>
      </w:r>
    </w:p>
    <w:p w:rsidR="001A6A17" w:rsidRPr="001A6A17" w:rsidRDefault="001A6A17" w:rsidP="001A6A17">
      <w:pPr>
        <w:shd w:val="clear" w:color="auto" w:fill="FFFFFF"/>
        <w:spacing w:after="180" w:line="360" w:lineRule="atLeast"/>
        <w:ind w:firstLine="567"/>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Головною метою програми є визначення  перспективних заходів щодо  підготовки та випуску  конкурентоспроможних  робітничих кадрів за професіями, які є затребуваними на сучасному ринку праці міста, шляхом відкриття та ліцензування нових професій, обладнання сучасних кабінетів та лабораторій  комп’ютерною технікою, та застосування в навчальному процесі інноваційних технологій, підвищення престижності робітничих професій серед молоді.</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Міська Програма  підготовки кваліфікованих кадрів на 2011-2015 роки  була розроблена професійно-технічними закладами міста і затверджена рішенням сесії Сєвєродонецької міської ради шостого скликання №444  від 28.04.2011р.. Виконавцями програми є професійно-технічні навчальні заклади міста.</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w:t>
      </w:r>
    </w:p>
    <w:p w:rsidR="001A6A17" w:rsidRPr="001A6A17" w:rsidRDefault="001A6A17" w:rsidP="001A6A17">
      <w:pPr>
        <w:shd w:val="clear" w:color="auto" w:fill="FFFFFF"/>
        <w:spacing w:after="180" w:line="360" w:lineRule="atLeast"/>
        <w:ind w:left="927" w:hanging="360"/>
        <w:jc w:val="both"/>
        <w:rPr>
          <w:rFonts w:ascii="Tahoma" w:eastAsia="Times New Roman" w:hAnsi="Tahoma" w:cs="Tahoma"/>
          <w:color w:val="4A4A4A"/>
          <w:sz w:val="11"/>
          <w:szCs w:val="11"/>
          <w:lang w:eastAsia="ru-RU"/>
        </w:rPr>
      </w:pPr>
      <w:r w:rsidRPr="001A6A17">
        <w:rPr>
          <w:rFonts w:ascii="Tahoma" w:eastAsia="Times New Roman" w:hAnsi="Tahoma" w:cs="Tahoma"/>
          <w:b/>
          <w:bCs/>
          <w:color w:val="4A4A4A"/>
          <w:sz w:val="24"/>
          <w:szCs w:val="24"/>
          <w:lang w:val="uk-UA" w:eastAsia="ru-RU"/>
        </w:rPr>
        <w:t>2.</w:t>
      </w:r>
      <w:r w:rsidRPr="001A6A17">
        <w:rPr>
          <w:rFonts w:ascii="Times New Roman" w:eastAsia="Times New Roman" w:hAnsi="Times New Roman" w:cs="Times New Roman"/>
          <w:color w:val="4A4A4A"/>
          <w:sz w:val="14"/>
          <w:szCs w:val="14"/>
          <w:lang w:val="uk-UA" w:eastAsia="ru-RU"/>
        </w:rPr>
        <w:t>     </w:t>
      </w:r>
      <w:r w:rsidRPr="001A6A17">
        <w:rPr>
          <w:rFonts w:ascii="Times New Roman" w:eastAsia="Times New Roman" w:hAnsi="Times New Roman" w:cs="Times New Roman"/>
          <w:color w:val="4A4A4A"/>
          <w:sz w:val="14"/>
          <w:lang w:val="uk-UA" w:eastAsia="ru-RU"/>
        </w:rPr>
        <w:t> </w:t>
      </w:r>
      <w:r w:rsidRPr="001A6A17">
        <w:rPr>
          <w:rFonts w:ascii="Tahoma" w:eastAsia="Times New Roman" w:hAnsi="Tahoma" w:cs="Tahoma"/>
          <w:b/>
          <w:bCs/>
          <w:color w:val="4A4A4A"/>
          <w:sz w:val="24"/>
          <w:szCs w:val="24"/>
          <w:lang w:val="uk-UA" w:eastAsia="ru-RU"/>
        </w:rPr>
        <w:t>Виконання завдань і заходів.</w:t>
      </w:r>
    </w:p>
    <w:p w:rsidR="001A6A17" w:rsidRPr="001A6A17" w:rsidRDefault="001A6A17" w:rsidP="001A6A17">
      <w:pPr>
        <w:shd w:val="clear" w:color="auto" w:fill="FFFFFF"/>
        <w:spacing w:after="180" w:line="360" w:lineRule="atLeast"/>
        <w:ind w:firstLine="567"/>
        <w:jc w:val="both"/>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xml:space="preserve">Відповідно до державних документів: Законів України «Про освіту», «Про професійно-технічну освіту», «Про місцеве самоврядування в Україні», постанови Кабінету Міністрів України від 03.06.1999р.  №956 «Про затвердження положення про ступеневу професійно-технічну освіту», постанови КМУ №992 від 07.06.1999р. «Про затвердження Порядку надання робочих місць для проходження учнями, слухачами професійно-технічних навчальних закладів виробничого навчання та виробничої практики», постанови КМУ №770 від 27.08.2010р. «Про внесення змін до Порядку надання робочих місць для проходження учнями, слухачами професійно-технічних навчальних закладів виробничого </w:t>
      </w:r>
      <w:r w:rsidRPr="001A6A17">
        <w:rPr>
          <w:rFonts w:ascii="Tahoma" w:eastAsia="Times New Roman" w:hAnsi="Tahoma" w:cs="Tahoma"/>
          <w:color w:val="4A4A4A"/>
          <w:sz w:val="11"/>
          <w:szCs w:val="11"/>
          <w:lang w:eastAsia="ru-RU"/>
        </w:rPr>
        <w:lastRenderedPageBreak/>
        <w:t>навчання та виробничої практики», постанови КМУ №784 від 27.08.2010р. «Про затвердження порядку працевлаштування випускників професійно-технічних навчальних закладів підготовка яких проводилася за державним замовленням» та згідно з Міською  Програмою підготовки кваліфікованих кадрів на 2011-2015р.р. у 2012 році здійснено:</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п.1.  Підготовка кваліфікованих кадрів здійснювалась відповідно до двосторонніх (професійно-технічний навчальний заклад – підприємство – замовник) та багатосторонніх (учень - ПТНЗ – підприємство-замовник) договорів і потребами ринку праці в місті. У 2012 році ПТНЗ міста підготували та випустили 654 кваліфікованих робітників а саме:</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ДНЗ «Сєвєродонецьке ВПУ» - 255 осіб за восьма  професіями та трьома спеціальностями;</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ДНЗ «Сєвєродонецький професійний ліцей» - 132 особи за шістю професіями;</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ВПУ №92 –  163 осіб за шістьма професіями та двома спеціальностями;</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Сєвєродонецький професійний будівельний ліцей – 104 особи за чотирма професіями.</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п.2. На протязі звітного року здійснювалась підготовка, перепідготовка та підвищення кваліфікації осіб з числа незайнятого населення за замовленням міського Центру зайнятості. Всього підготовані 200 осіб, а саме:</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ДНЗ «Сєвєродонецьке ВПУ» - 26 осіб за двома професіями;</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ДНЗ «Сєвєродонецький професійний ліцей» - 54 особи за двома напрямками підготовки;</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ВПУ №92 - 35 особи за однією професією;</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Сєвєродонецький професійний будівельний ліцей – 23 особи за двома професіями;</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п.3. Роботу з допрофесійної підготовки учнів загальноосвітніх шкіл на базі ПНТЗ міста  організовано у ДНЗ «Сєвєродонецький професійний ліцей» за художньо-естетичним напрямком «Нейл-дизайн».</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п.4. Відкрити нові сучасні професії, курси підготовки і перепідготовки, підвищення кваліфікації, які відповідають профілю навчального закладу, а саме:</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  ДНЗ «Сєвєродонецьке ВПУ» отримало ліцензію щодо перепідготовки та професійно-технічного навчання за професіями «Машиніст бульдозера (будівельні роботи)»  і «Машиніст екскаватора одноковшового»;</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у ДНЗ «Сєвєродонецький професійний ліцей» - «Перукар (перукар-модельер). Візажист Візажист - стиліст».</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п.5. Міська Міжгалузева рада з профтехосвіти  не створена.</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п.6. Керівниками підприємств міста надавалися  робочі місця для проходження учнями виробничої практики із забезпеченням безпечних умов праці й закріпленням наставників, але виробнича практика  частіше всього безоплатна.</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lastRenderedPageBreak/>
        <w:t> </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п.7. Проведено семінар між відповідальними за профорієнтаційну роботу в школах міста та ПТНЗ на базі Центру зайнятості при проведенні Марафону професій. На базі ПНТЗ міста у квітні проходили дні відчинених дверей, коли до училищ приходили учні загальноосвітніх шкіл для ознайомлення з навчально–матеріальною базою. У березні – травні агітувальні бригади професійно-технічних навчальних закладів проводили профорієнтаційну роботу у школах міста та регіону у в першу чергу з професій, які відсутні в мережі підготовки МНВК.</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п.8. Протягом року педпрацівниками ПТНЗ міста проводився моніторинг перспективи вступу випускників загальноосвітніх шкіл в навчальні заклади профтехосвіти з метою отримання робітничих професій, згідно  інформації про перспективу випуску шкіл міста, яку щорічно надає відділ освіти міської ради.</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п.9.  В школах міста обладнані куточки по професійній орієнтації учнів, у яких постійно розміщені об’яви про набор до ПТНЗ міста та презентації з професій. </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п.10. ПТНЗ міста здійснювали спільну профорієнтаційну роботу з міським Центром зайнятості, а саме брали участь в Марафоні робітничих професій, який проводився з 12.03.2012р.  по 16.03 2012 року. У Марафоні прийняли участь  1050 учнів загальноосвітніх шкіл  міста.</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п.11. З метою всебічного висвітлення питань профорієнтаційної роботи  та інформації молоді про прийом до ПТНЗ міста  постійно залучались засоби масової інформації, які надавали інформацію про можливості навчання за різними професіями, використовуя фоторепортажі, інтерв’ю та бесіди, відеоролики, а саме:</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надавалася інформація щодо популяризації нових та дефіцитних професій:</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надавалася інформація про можливості навчання за різними професіями в ПТНЗ, порядок працевлаштування після закінчення навчання, оголошення про набір до ПТНЗ та статті   про навчальні, спортивні, творчі  та інші досягнення учнів у газетах «Сєвєродонецький хімік» і «Сєвєродонецькі вісті»;</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у відео репортажах  кабельного телебачення СТВ та телебачення ПрАТ «Сєвєродонецьке об’єднання Азот» надавалися інтерв’ю та бесіди про організацію навчально-виховного процесу в училищах,  про події та досягнення учнів та викладачів училищ;</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на сайтах училищ молодь постійно отримує інформацію про можливості отримання професії, з яких ведеться підготовка в ПТНЗ, про життя в училищах.</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п.12.  З огляду на збільшення потреб в робочих кадрах на підприємствах міста при прийомі учнів ведеться  профорієнтація  учнів середніх шкіл на робочі професії машинобудівельного та будівельного профілю. Так у звітному періоді у ДНЗ «Сєвєродонецьке ВПУ»  здійснювалася підготовка 83 чол. за професіями будівельного профілю;  у Сєвєродонецькому професійному будівельному ліцею  уся  підготовку  учнів здійснюється за будівельним профілем.</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п.13.  Продовжувалася робота щодо створених раніше комплексів ступеневої професійної освіти «Професійно-технічний навчальний заклад – вищий навчальний заклад”. У звітному періоді створено нові комплекси:</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1)     ДНЗ «Сєвєродонецьке ВПУ» –  Східноукраїнський національний університет ім..В.Даля</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lastRenderedPageBreak/>
        <w:t>2)     Державним навчальним закладом «Сєвєродонецький професійний ліцей» сумісно з Харківською інженерно-педагогічною Академією створено навчально-виробничий комплекс «Педагог».</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п.14.  „Молодіжна ярмарка вакансій” для випускників навчальних закладів міста у 2012р. не проводилася.</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w:t>
      </w:r>
    </w:p>
    <w:p w:rsidR="001A6A17" w:rsidRPr="001A6A17" w:rsidRDefault="001A6A17" w:rsidP="001A6A17">
      <w:pPr>
        <w:shd w:val="clear" w:color="auto" w:fill="FFFFFF"/>
        <w:spacing w:after="180" w:line="360" w:lineRule="atLeast"/>
        <w:ind w:left="927" w:hanging="360"/>
        <w:jc w:val="both"/>
        <w:rPr>
          <w:rFonts w:ascii="Tahoma" w:eastAsia="Times New Roman" w:hAnsi="Tahoma" w:cs="Tahoma"/>
          <w:color w:val="4A4A4A"/>
          <w:sz w:val="11"/>
          <w:szCs w:val="11"/>
          <w:lang w:eastAsia="ru-RU"/>
        </w:rPr>
      </w:pPr>
      <w:r w:rsidRPr="001A6A17">
        <w:rPr>
          <w:rFonts w:ascii="Tahoma" w:eastAsia="Times New Roman" w:hAnsi="Tahoma" w:cs="Tahoma"/>
          <w:b/>
          <w:bCs/>
          <w:color w:val="4A4A4A"/>
          <w:sz w:val="24"/>
          <w:szCs w:val="24"/>
          <w:lang w:val="uk-UA" w:eastAsia="ru-RU"/>
        </w:rPr>
        <w:t>3.</w:t>
      </w:r>
      <w:r w:rsidRPr="001A6A17">
        <w:rPr>
          <w:rFonts w:ascii="Times New Roman" w:eastAsia="Times New Roman" w:hAnsi="Times New Roman" w:cs="Times New Roman"/>
          <w:color w:val="4A4A4A"/>
          <w:sz w:val="14"/>
          <w:szCs w:val="14"/>
          <w:lang w:val="uk-UA" w:eastAsia="ru-RU"/>
        </w:rPr>
        <w:t>     </w:t>
      </w:r>
      <w:r w:rsidRPr="001A6A17">
        <w:rPr>
          <w:rFonts w:ascii="Times New Roman" w:eastAsia="Times New Roman" w:hAnsi="Times New Roman" w:cs="Times New Roman"/>
          <w:color w:val="4A4A4A"/>
          <w:sz w:val="14"/>
          <w:lang w:val="uk-UA" w:eastAsia="ru-RU"/>
        </w:rPr>
        <w:t> </w:t>
      </w:r>
      <w:r w:rsidRPr="001A6A17">
        <w:rPr>
          <w:rFonts w:ascii="Tahoma" w:eastAsia="Times New Roman" w:hAnsi="Tahoma" w:cs="Tahoma"/>
          <w:b/>
          <w:bCs/>
          <w:color w:val="4A4A4A"/>
          <w:sz w:val="24"/>
          <w:szCs w:val="24"/>
          <w:lang w:val="uk-UA" w:eastAsia="ru-RU"/>
        </w:rPr>
        <w:t>Оцінка ефективності виконання.</w:t>
      </w:r>
    </w:p>
    <w:p w:rsidR="001A6A17" w:rsidRPr="001A6A17" w:rsidRDefault="001A6A17" w:rsidP="001A6A17">
      <w:pPr>
        <w:shd w:val="clear" w:color="auto" w:fill="FFFFFF"/>
        <w:spacing w:after="180" w:line="360" w:lineRule="atLeast"/>
        <w:jc w:val="both"/>
        <w:rPr>
          <w:rFonts w:ascii="Tahoma" w:eastAsia="Times New Roman" w:hAnsi="Tahoma" w:cs="Tahoma"/>
          <w:color w:val="4A4A4A"/>
          <w:sz w:val="11"/>
          <w:szCs w:val="11"/>
          <w:lang w:eastAsia="ru-RU"/>
        </w:rPr>
      </w:pPr>
      <w:r w:rsidRPr="001A6A17">
        <w:rPr>
          <w:rFonts w:ascii="Tahoma" w:eastAsia="Times New Roman" w:hAnsi="Tahoma" w:cs="Tahoma"/>
          <w:color w:val="4A4A4A"/>
          <w:sz w:val="24"/>
          <w:szCs w:val="24"/>
          <w:lang w:val="uk-UA" w:eastAsia="ru-RU"/>
        </w:rPr>
        <w:t>       </w:t>
      </w:r>
      <w:r w:rsidRPr="001A6A17">
        <w:rPr>
          <w:rFonts w:ascii="Tahoma" w:eastAsia="Times New Roman" w:hAnsi="Tahoma" w:cs="Tahoma"/>
          <w:color w:val="4A4A4A"/>
          <w:sz w:val="11"/>
          <w:szCs w:val="11"/>
          <w:lang w:eastAsia="ru-RU"/>
        </w:rPr>
        <w:t>На основі аналізу кількісних та якісних показників, що досягнуті в результаті виконання  Програми за 2012 рік, ефективність виконання Програми задовільна.</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w:t>
      </w:r>
    </w:p>
    <w:p w:rsidR="001A6A17" w:rsidRPr="001A6A17" w:rsidRDefault="001A6A17" w:rsidP="001A6A17">
      <w:pPr>
        <w:shd w:val="clear" w:color="auto" w:fill="FFFFFF"/>
        <w:spacing w:after="180" w:line="360" w:lineRule="atLeast"/>
        <w:ind w:left="927" w:hanging="360"/>
        <w:jc w:val="both"/>
        <w:rPr>
          <w:rFonts w:ascii="Tahoma" w:eastAsia="Times New Roman" w:hAnsi="Tahoma" w:cs="Tahoma"/>
          <w:color w:val="4A4A4A"/>
          <w:sz w:val="11"/>
          <w:szCs w:val="11"/>
          <w:lang w:eastAsia="ru-RU"/>
        </w:rPr>
      </w:pPr>
      <w:r w:rsidRPr="001A6A17">
        <w:rPr>
          <w:rFonts w:ascii="Tahoma" w:eastAsia="Times New Roman" w:hAnsi="Tahoma" w:cs="Tahoma"/>
          <w:b/>
          <w:bCs/>
          <w:color w:val="4A4A4A"/>
          <w:sz w:val="24"/>
          <w:szCs w:val="24"/>
          <w:lang w:val="uk-UA" w:eastAsia="ru-RU"/>
        </w:rPr>
        <w:t>4.</w:t>
      </w:r>
      <w:r w:rsidRPr="001A6A17">
        <w:rPr>
          <w:rFonts w:ascii="Times New Roman" w:eastAsia="Times New Roman" w:hAnsi="Times New Roman" w:cs="Times New Roman"/>
          <w:color w:val="4A4A4A"/>
          <w:sz w:val="14"/>
          <w:szCs w:val="14"/>
          <w:lang w:val="uk-UA" w:eastAsia="ru-RU"/>
        </w:rPr>
        <w:t>     </w:t>
      </w:r>
      <w:r w:rsidRPr="001A6A17">
        <w:rPr>
          <w:rFonts w:ascii="Times New Roman" w:eastAsia="Times New Roman" w:hAnsi="Times New Roman" w:cs="Times New Roman"/>
          <w:color w:val="4A4A4A"/>
          <w:sz w:val="14"/>
          <w:lang w:val="uk-UA" w:eastAsia="ru-RU"/>
        </w:rPr>
        <w:t> </w:t>
      </w:r>
      <w:r w:rsidRPr="001A6A17">
        <w:rPr>
          <w:rFonts w:ascii="Tahoma" w:eastAsia="Times New Roman" w:hAnsi="Tahoma" w:cs="Tahoma"/>
          <w:b/>
          <w:bCs/>
          <w:color w:val="4A4A4A"/>
          <w:sz w:val="24"/>
          <w:szCs w:val="24"/>
          <w:lang w:val="uk-UA" w:eastAsia="ru-RU"/>
        </w:rPr>
        <w:t>Фінансування.</w:t>
      </w:r>
    </w:p>
    <w:p w:rsidR="001A6A17" w:rsidRPr="001A6A17" w:rsidRDefault="001A6A17" w:rsidP="001A6A17">
      <w:pPr>
        <w:shd w:val="clear" w:color="auto" w:fill="FFFFFF"/>
        <w:spacing w:after="180" w:line="360" w:lineRule="atLeast"/>
        <w:jc w:val="both"/>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Планове фінансування Програмою не передбачено.</w:t>
      </w:r>
    </w:p>
    <w:p w:rsidR="001A6A17" w:rsidRPr="001A6A17" w:rsidRDefault="001A6A17" w:rsidP="001A6A17">
      <w:pPr>
        <w:shd w:val="clear" w:color="auto" w:fill="FFFFFF"/>
        <w:spacing w:after="180" w:line="360" w:lineRule="atLeast"/>
        <w:jc w:val="both"/>
        <w:rPr>
          <w:rFonts w:ascii="Tahoma" w:eastAsia="Times New Roman" w:hAnsi="Tahoma" w:cs="Tahoma"/>
          <w:color w:val="4A4A4A"/>
          <w:sz w:val="11"/>
          <w:szCs w:val="11"/>
          <w:lang w:eastAsia="ru-RU"/>
        </w:rPr>
      </w:pPr>
      <w:r w:rsidRPr="001A6A17">
        <w:rPr>
          <w:rFonts w:ascii="Tahoma" w:eastAsia="Times New Roman" w:hAnsi="Tahoma" w:cs="Tahoma"/>
          <w:i/>
          <w:iCs/>
          <w:color w:val="4A4A4A"/>
          <w:sz w:val="24"/>
          <w:szCs w:val="24"/>
          <w:lang w:val="uk-UA" w:eastAsia="ru-RU"/>
        </w:rPr>
        <w:t> </w:t>
      </w:r>
    </w:p>
    <w:p w:rsidR="001A6A17" w:rsidRPr="001A6A17" w:rsidRDefault="001A6A17" w:rsidP="001A6A17">
      <w:pPr>
        <w:shd w:val="clear" w:color="auto" w:fill="FFFFFF"/>
        <w:spacing w:after="180" w:line="360" w:lineRule="atLeast"/>
        <w:ind w:left="927" w:hanging="360"/>
        <w:jc w:val="both"/>
        <w:rPr>
          <w:rFonts w:ascii="Tahoma" w:eastAsia="Times New Roman" w:hAnsi="Tahoma" w:cs="Tahoma"/>
          <w:color w:val="4A4A4A"/>
          <w:sz w:val="11"/>
          <w:szCs w:val="11"/>
          <w:lang w:eastAsia="ru-RU"/>
        </w:rPr>
      </w:pPr>
      <w:r w:rsidRPr="001A6A17">
        <w:rPr>
          <w:rFonts w:ascii="Tahoma" w:eastAsia="Times New Roman" w:hAnsi="Tahoma" w:cs="Tahoma"/>
          <w:b/>
          <w:bCs/>
          <w:color w:val="4A4A4A"/>
          <w:sz w:val="24"/>
          <w:szCs w:val="24"/>
          <w:lang w:val="uk-UA" w:eastAsia="ru-RU"/>
        </w:rPr>
        <w:t>5.</w:t>
      </w:r>
      <w:r w:rsidRPr="001A6A17">
        <w:rPr>
          <w:rFonts w:ascii="Times New Roman" w:eastAsia="Times New Roman" w:hAnsi="Times New Roman" w:cs="Times New Roman"/>
          <w:color w:val="4A4A4A"/>
          <w:sz w:val="14"/>
          <w:szCs w:val="14"/>
          <w:lang w:val="uk-UA" w:eastAsia="ru-RU"/>
        </w:rPr>
        <w:t>     </w:t>
      </w:r>
      <w:r w:rsidRPr="001A6A17">
        <w:rPr>
          <w:rFonts w:ascii="Times New Roman" w:eastAsia="Times New Roman" w:hAnsi="Times New Roman" w:cs="Times New Roman"/>
          <w:color w:val="4A4A4A"/>
          <w:sz w:val="14"/>
          <w:lang w:val="uk-UA" w:eastAsia="ru-RU"/>
        </w:rPr>
        <w:t> </w:t>
      </w:r>
      <w:r w:rsidRPr="001A6A17">
        <w:rPr>
          <w:rFonts w:ascii="Tahoma" w:eastAsia="Times New Roman" w:hAnsi="Tahoma" w:cs="Tahoma"/>
          <w:b/>
          <w:bCs/>
          <w:color w:val="4A4A4A"/>
          <w:sz w:val="24"/>
          <w:szCs w:val="24"/>
          <w:lang w:val="uk-UA" w:eastAsia="ru-RU"/>
        </w:rPr>
        <w:t>Пропозиції щодо забезпечення подальшого виконання.</w:t>
      </w:r>
    </w:p>
    <w:p w:rsidR="001A6A17" w:rsidRPr="001A6A17" w:rsidRDefault="001A6A17" w:rsidP="001A6A17">
      <w:pPr>
        <w:shd w:val="clear" w:color="auto" w:fill="FFFFFF"/>
        <w:spacing w:after="180" w:line="360" w:lineRule="atLeast"/>
        <w:ind w:firstLine="567"/>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Для більшої  результативності  міської Програми підготовки кваліфікованих кадрів на 2011-2015 роки  необхідно створити Міжгалузеву раду.</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color w:val="4A4A4A"/>
          <w:sz w:val="11"/>
          <w:szCs w:val="11"/>
          <w:lang w:eastAsia="ru-RU"/>
        </w:rPr>
        <w:t> </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b/>
          <w:bCs/>
          <w:color w:val="4A4A4A"/>
          <w:sz w:val="11"/>
          <w:lang w:eastAsia="ru-RU"/>
        </w:rPr>
        <w:t> </w:t>
      </w:r>
    </w:p>
    <w:p w:rsidR="001A6A17" w:rsidRPr="001A6A17" w:rsidRDefault="001A6A17" w:rsidP="001A6A17">
      <w:pPr>
        <w:shd w:val="clear" w:color="auto" w:fill="FFFFFF"/>
        <w:spacing w:after="180" w:line="360" w:lineRule="atLeast"/>
        <w:rPr>
          <w:rFonts w:ascii="Tahoma" w:eastAsia="Times New Roman" w:hAnsi="Tahoma" w:cs="Tahoma"/>
          <w:color w:val="4A4A4A"/>
          <w:sz w:val="11"/>
          <w:szCs w:val="11"/>
          <w:lang w:eastAsia="ru-RU"/>
        </w:rPr>
      </w:pPr>
      <w:r w:rsidRPr="001A6A17">
        <w:rPr>
          <w:rFonts w:ascii="Tahoma" w:eastAsia="Times New Roman" w:hAnsi="Tahoma" w:cs="Tahoma"/>
          <w:b/>
          <w:bCs/>
          <w:color w:val="4A4A4A"/>
          <w:sz w:val="11"/>
          <w:lang w:eastAsia="ru-RU"/>
        </w:rPr>
        <w:t>Секретар ради                         А.А.Гавриленко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1A6A17"/>
    <w:rsid w:val="001A6A17"/>
    <w:rsid w:val="007811C7"/>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1A6A17"/>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A6A1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A6A1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A6A17"/>
  </w:style>
  <w:style w:type="character" w:styleId="a4">
    <w:name w:val="Emphasis"/>
    <w:basedOn w:val="a0"/>
    <w:uiPriority w:val="20"/>
    <w:qFormat/>
    <w:rsid w:val="001A6A17"/>
    <w:rPr>
      <w:i/>
      <w:iCs/>
    </w:rPr>
  </w:style>
  <w:style w:type="character" w:styleId="a5">
    <w:name w:val="Strong"/>
    <w:basedOn w:val="a0"/>
    <w:uiPriority w:val="22"/>
    <w:qFormat/>
    <w:rsid w:val="001A6A17"/>
    <w:rPr>
      <w:b/>
      <w:bCs/>
    </w:rPr>
  </w:style>
</w:styles>
</file>

<file path=word/webSettings.xml><?xml version="1.0" encoding="utf-8"?>
<w:webSettings xmlns:r="http://schemas.openxmlformats.org/officeDocument/2006/relationships" xmlns:w="http://schemas.openxmlformats.org/wordprocessingml/2006/main">
  <w:divs>
    <w:div w:id="66062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1355</Words>
  <Characters>7725</Characters>
  <Application>Microsoft Office Word</Application>
  <DocSecurity>0</DocSecurity>
  <Lines>64</Lines>
  <Paragraphs>18</Paragraphs>
  <ScaleCrop>false</ScaleCrop>
  <Company>Северодонецкие вести</Company>
  <LinksUpToDate>false</LinksUpToDate>
  <CharactersWithSpaces>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2016-07-08T08:31:00Z</dcterms:created>
  <dcterms:modified xsi:type="dcterms:W3CDTF">2016-07-08T08:33:00Z</dcterms:modified>
</cp:coreProperties>
</file>