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B6" w:rsidRPr="00A348B6" w:rsidRDefault="00A348B6" w:rsidP="00A348B6">
      <w:pPr>
        <w:shd w:val="clear" w:color="auto" w:fill="FFFFFF"/>
        <w:spacing w:after="60"/>
        <w:jc w:val="center"/>
        <w:outlineLvl w:val="1"/>
        <w:rPr>
          <w:rFonts w:ascii="Tahoma" w:eastAsia="Times New Roman" w:hAnsi="Tahoma" w:cs="Tahoma"/>
          <w:b/>
          <w:bCs/>
          <w:color w:val="4A4A4A"/>
          <w:sz w:val="31"/>
          <w:szCs w:val="31"/>
          <w:lang w:eastAsia="ru-RU"/>
        </w:rPr>
      </w:pPr>
      <w:r w:rsidRPr="00A348B6">
        <w:rPr>
          <w:rFonts w:ascii="Tahoma" w:eastAsia="Times New Roman" w:hAnsi="Tahoma" w:cs="Tahoma"/>
          <w:b/>
          <w:bCs/>
          <w:color w:val="4A4A4A"/>
          <w:sz w:val="31"/>
          <w:szCs w:val="31"/>
          <w:lang w:eastAsia="ru-RU"/>
        </w:rPr>
        <w:t>СЄВЄРОДОНЕЦЬКА МIСЬКА РАДА</w:t>
      </w:r>
    </w:p>
    <w:p w:rsidR="00A348B6" w:rsidRPr="00A348B6" w:rsidRDefault="00A348B6" w:rsidP="00A348B6">
      <w:pPr>
        <w:shd w:val="clear" w:color="auto" w:fill="FFFFFF"/>
        <w:spacing w:after="60"/>
        <w:jc w:val="center"/>
        <w:outlineLvl w:val="1"/>
        <w:rPr>
          <w:rFonts w:ascii="Tahoma" w:eastAsia="Times New Roman" w:hAnsi="Tahoma" w:cs="Tahoma"/>
          <w:b/>
          <w:bCs/>
          <w:color w:val="4A4A4A"/>
          <w:sz w:val="31"/>
          <w:szCs w:val="31"/>
          <w:lang w:eastAsia="ru-RU"/>
        </w:rPr>
      </w:pPr>
      <w:r w:rsidRPr="00A348B6">
        <w:rPr>
          <w:rFonts w:ascii="Tahoma" w:eastAsia="Times New Roman" w:hAnsi="Tahoma" w:cs="Tahoma"/>
          <w:b/>
          <w:bCs/>
          <w:color w:val="4A4A4A"/>
          <w:sz w:val="31"/>
          <w:szCs w:val="31"/>
          <w:lang w:eastAsia="ru-RU"/>
        </w:rPr>
        <w:t>ШОСТОГО СКЛИКАННЯ</w:t>
      </w:r>
    </w:p>
    <w:p w:rsidR="00A348B6" w:rsidRPr="00A348B6" w:rsidRDefault="00A348B6" w:rsidP="00A348B6">
      <w:pPr>
        <w:shd w:val="clear" w:color="auto" w:fill="FFFFFF"/>
        <w:spacing w:after="60"/>
        <w:jc w:val="center"/>
        <w:outlineLvl w:val="1"/>
        <w:rPr>
          <w:rFonts w:ascii="Tahoma" w:eastAsia="Times New Roman" w:hAnsi="Tahoma" w:cs="Tahoma"/>
          <w:b/>
          <w:bCs/>
          <w:color w:val="4A4A4A"/>
          <w:sz w:val="31"/>
          <w:szCs w:val="31"/>
          <w:lang w:eastAsia="ru-RU"/>
        </w:rPr>
      </w:pPr>
      <w:r w:rsidRPr="00A348B6">
        <w:rPr>
          <w:rFonts w:ascii="Tahoma" w:eastAsia="Times New Roman" w:hAnsi="Tahoma" w:cs="Tahoma"/>
          <w:b/>
          <w:bCs/>
          <w:color w:val="4A4A4A"/>
          <w:sz w:val="31"/>
          <w:szCs w:val="31"/>
          <w:lang w:eastAsia="ru-RU"/>
        </w:rPr>
        <w:t>Шістдесят сьома (чергова) сесія</w:t>
      </w:r>
    </w:p>
    <w:p w:rsidR="00A348B6" w:rsidRPr="00A348B6" w:rsidRDefault="00A348B6" w:rsidP="00A348B6">
      <w:pPr>
        <w:shd w:val="clear" w:color="auto" w:fill="FFFFFF"/>
        <w:spacing w:after="60"/>
        <w:jc w:val="center"/>
        <w:outlineLvl w:val="1"/>
        <w:rPr>
          <w:rFonts w:ascii="Tahoma" w:eastAsia="Times New Roman" w:hAnsi="Tahoma" w:cs="Tahoma"/>
          <w:b/>
          <w:bCs/>
          <w:color w:val="4A4A4A"/>
          <w:sz w:val="31"/>
          <w:szCs w:val="31"/>
          <w:lang w:eastAsia="ru-RU"/>
        </w:rPr>
      </w:pPr>
      <w:r w:rsidRPr="00A348B6">
        <w:rPr>
          <w:rFonts w:ascii="Tahoma" w:eastAsia="Times New Roman" w:hAnsi="Tahoma" w:cs="Tahoma"/>
          <w:b/>
          <w:bCs/>
          <w:color w:val="4A4A4A"/>
          <w:sz w:val="31"/>
          <w:szCs w:val="31"/>
          <w:lang w:eastAsia="ru-RU"/>
        </w:rPr>
        <w:t>РIШЕННЯ №2884</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xml:space="preserve">"25 " </w:t>
      </w:r>
      <w:r w:rsidRPr="00A348B6">
        <w:rPr>
          <w:rFonts w:ascii="Tahoma" w:eastAsia="Times New Roman" w:hAnsi="Tahoma" w:cs="Tahoma"/>
          <w:color w:val="4A4A4A"/>
          <w:sz w:val="10"/>
          <w:szCs w:val="10"/>
          <w:lang w:eastAsia="ru-RU"/>
        </w:rPr>
        <w:softHyphen/>
      </w:r>
      <w:r w:rsidRPr="00A348B6">
        <w:rPr>
          <w:rFonts w:ascii="Tahoma" w:eastAsia="Times New Roman" w:hAnsi="Tahoma" w:cs="Tahoma"/>
          <w:color w:val="4A4A4A"/>
          <w:sz w:val="10"/>
          <w:szCs w:val="10"/>
          <w:lang w:eastAsia="ru-RU"/>
        </w:rPr>
        <w:softHyphen/>
        <w:t>липня 2013 року</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м. Сєвєродонецьк</w:t>
      </w:r>
    </w:p>
    <w:p w:rsidR="00A348B6" w:rsidRPr="00A348B6" w:rsidRDefault="00A348B6" w:rsidP="00A348B6">
      <w:pPr>
        <w:shd w:val="clear" w:color="auto" w:fill="FFFFFF"/>
        <w:spacing w:after="60"/>
        <w:outlineLvl w:val="1"/>
        <w:rPr>
          <w:rFonts w:ascii="Tahoma" w:eastAsia="Times New Roman" w:hAnsi="Tahoma" w:cs="Tahoma"/>
          <w:b/>
          <w:bCs/>
          <w:color w:val="4A4A4A"/>
          <w:sz w:val="31"/>
          <w:szCs w:val="31"/>
          <w:lang w:eastAsia="ru-RU"/>
        </w:rPr>
      </w:pPr>
      <w:r w:rsidRPr="00A348B6">
        <w:rPr>
          <w:rFonts w:ascii="Tahoma" w:eastAsia="Times New Roman" w:hAnsi="Tahoma" w:cs="Tahoma"/>
          <w:b/>
          <w:bCs/>
          <w:color w:val="4A4A4A"/>
          <w:sz w:val="31"/>
          <w:szCs w:val="31"/>
          <w:lang w:eastAsia="ru-RU"/>
        </w:rPr>
        <w:t>Про затвердження Звіту</w:t>
      </w:r>
      <w:r w:rsidRPr="00A348B6">
        <w:rPr>
          <w:rFonts w:ascii="Tahoma" w:eastAsia="Times New Roman" w:hAnsi="Tahoma" w:cs="Tahoma"/>
          <w:b/>
          <w:bCs/>
          <w:color w:val="4A4A4A"/>
          <w:sz w:val="31"/>
          <w:lang w:eastAsia="ru-RU"/>
        </w:rPr>
        <w:t> </w:t>
      </w:r>
      <w:r w:rsidRPr="00A348B6">
        <w:rPr>
          <w:rFonts w:ascii="Tahoma" w:eastAsia="Times New Roman" w:hAnsi="Tahoma" w:cs="Tahoma"/>
          <w:b/>
          <w:bCs/>
          <w:color w:val="4A4A4A"/>
          <w:sz w:val="31"/>
          <w:szCs w:val="31"/>
          <w:lang w:eastAsia="ru-RU"/>
        </w:rPr>
        <w:t>про</w:t>
      </w:r>
      <w:r w:rsidRPr="00A348B6">
        <w:rPr>
          <w:rFonts w:ascii="Tahoma" w:eastAsia="Times New Roman" w:hAnsi="Tahoma" w:cs="Tahoma"/>
          <w:b/>
          <w:bCs/>
          <w:color w:val="4A4A4A"/>
          <w:sz w:val="31"/>
          <w:lang w:eastAsia="ru-RU"/>
        </w:rPr>
        <w:t> </w:t>
      </w:r>
      <w:r w:rsidRPr="00A348B6">
        <w:rPr>
          <w:rFonts w:ascii="Tahoma" w:eastAsia="Times New Roman" w:hAnsi="Tahoma" w:cs="Tahoma"/>
          <w:b/>
          <w:bCs/>
          <w:color w:val="4A4A4A"/>
          <w:sz w:val="31"/>
          <w:szCs w:val="31"/>
          <w:lang w:eastAsia="ru-RU"/>
        </w:rPr>
        <w:t>хід виконання у 2 кварталі 2013 року «Програми відчуження об’єктів комунальної власності територіальної громади м. Сєвєродонецьк на 2012 -2014 роки»</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Керуючись ст. 29 Закону України “Про місцеве самоврядування в Україні” від 21.05.1997р. № 280/97-ВР, Законом України “Про приватизацію невеликих державних підприємств (малу приватизацію)» від 15.05.1996р. № 189/96-ВР зі змінами та доповненнями згідно Закону України від 13.-1.2012р. № 4336-</w:t>
      </w:r>
      <w:r w:rsidRPr="00A348B6">
        <w:rPr>
          <w:rFonts w:ascii="Tahoma" w:eastAsia="Times New Roman" w:hAnsi="Tahoma" w:cs="Tahoma"/>
          <w:color w:val="4A4A4A"/>
          <w:sz w:val="10"/>
          <w:szCs w:val="10"/>
          <w:lang w:val="en-US" w:eastAsia="ru-RU"/>
        </w:rPr>
        <w:t>VI</w:t>
      </w:r>
      <w:r w:rsidRPr="00A348B6">
        <w:rPr>
          <w:rFonts w:ascii="Tahoma" w:eastAsia="Times New Roman" w:hAnsi="Tahoma" w:cs="Tahoma"/>
          <w:color w:val="4A4A4A"/>
          <w:sz w:val="10"/>
          <w:szCs w:val="10"/>
          <w:lang w:eastAsia="ru-RU"/>
        </w:rPr>
        <w:t>, п. 8.2 Програми відчуження об’єктів комунальної власності територіальної громади м. Сєвєродонецьк на 2012- 2014 роки, затвердженої рішенням міської ради від 26.04.2012р. № 1655, розглянувши інформацію та звіт про хід виконання у 2 кварталі 2013 року «Програми відчуження об’єктів комунальної власності територіальної громади м. Сєвєродонецьк на 2012 -2014 роки», Сєвєродонецька мiська рада</w:t>
      </w:r>
    </w:p>
    <w:p w:rsidR="00A348B6" w:rsidRPr="00A348B6" w:rsidRDefault="00A348B6" w:rsidP="00A348B6">
      <w:pPr>
        <w:shd w:val="clear" w:color="auto" w:fill="FFFFFF"/>
        <w:spacing w:before="238" w:after="180" w:line="201" w:lineRule="atLeast"/>
        <w:rPr>
          <w:rFonts w:ascii="Tahoma" w:eastAsia="Times New Roman" w:hAnsi="Tahoma" w:cs="Tahoma"/>
          <w:color w:val="4A4A4A"/>
          <w:sz w:val="10"/>
          <w:szCs w:val="10"/>
          <w:lang w:eastAsia="ru-RU"/>
        </w:rPr>
      </w:pPr>
      <w:r w:rsidRPr="00A348B6">
        <w:rPr>
          <w:rFonts w:ascii="Tahoma" w:eastAsia="Times New Roman" w:hAnsi="Tahoma" w:cs="Tahoma"/>
          <w:b/>
          <w:bCs/>
          <w:color w:val="4A4A4A"/>
          <w:sz w:val="10"/>
          <w:szCs w:val="10"/>
          <w:lang w:eastAsia="ru-RU"/>
        </w:rPr>
        <w:t>ВИРIШИЛА:</w:t>
      </w:r>
    </w:p>
    <w:p w:rsidR="00A348B6" w:rsidRPr="00A348B6" w:rsidRDefault="00A348B6" w:rsidP="00A348B6">
      <w:pPr>
        <w:numPr>
          <w:ilvl w:val="0"/>
          <w:numId w:val="1"/>
        </w:numPr>
        <w:shd w:val="clear" w:color="auto" w:fill="FFFFFF"/>
        <w:spacing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Інформацію про хід виконання у 2 кварталі 2013 року «Програми відчуження об’єктів комунальної власності територіальної громади м. Сєвєродонецьк на 2012 -2014 роки», прийняти до відома (додаток 1).</w:t>
      </w:r>
    </w:p>
    <w:p w:rsidR="00A348B6" w:rsidRPr="00A348B6" w:rsidRDefault="00A348B6" w:rsidP="00A348B6">
      <w:pPr>
        <w:numPr>
          <w:ilvl w:val="0"/>
          <w:numId w:val="1"/>
        </w:numPr>
        <w:shd w:val="clear" w:color="auto" w:fill="FFFFFF"/>
        <w:spacing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Затвердити Звіт про хід виконання у 2 кварталі 2013 року «Програми відчуження об’єктів комунальної власності територіальної громади м. Сєвєродонецьк на 2012 -2014 роки» (додаток 2).</w:t>
      </w:r>
    </w:p>
    <w:p w:rsidR="00A348B6" w:rsidRPr="00A348B6" w:rsidRDefault="00A348B6" w:rsidP="00A348B6">
      <w:pPr>
        <w:numPr>
          <w:ilvl w:val="0"/>
          <w:numId w:val="1"/>
        </w:numPr>
        <w:shd w:val="clear" w:color="auto" w:fill="FFFFFF"/>
        <w:spacing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Контроль за виконанням цього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 та постійну комісію з питань планування бюджету та фінансів.</w:t>
      </w:r>
    </w:p>
    <w:p w:rsidR="00A348B6" w:rsidRPr="00A348B6" w:rsidRDefault="00A348B6" w:rsidP="00A348B6">
      <w:pPr>
        <w:shd w:val="clear" w:color="auto" w:fill="FFFFFF"/>
        <w:spacing w:after="180" w:line="201"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201"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151" w:lineRule="atLeast"/>
        <w:rPr>
          <w:rFonts w:ascii="Tahoma" w:eastAsia="Times New Roman" w:hAnsi="Tahoma" w:cs="Tahoma"/>
          <w:color w:val="4A4A4A"/>
          <w:sz w:val="10"/>
          <w:szCs w:val="10"/>
          <w:lang w:eastAsia="ru-RU"/>
        </w:rPr>
      </w:pPr>
      <w:r w:rsidRPr="00A348B6">
        <w:rPr>
          <w:rFonts w:ascii="Tahoma" w:eastAsia="Times New Roman" w:hAnsi="Tahoma" w:cs="Tahoma"/>
          <w:b/>
          <w:bCs/>
          <w:color w:val="4A4A4A"/>
          <w:sz w:val="10"/>
          <w:szCs w:val="10"/>
          <w:lang w:eastAsia="ru-RU"/>
        </w:rPr>
        <w:t>Мicький голова В.В. Казаков</w:t>
      </w:r>
    </w:p>
    <w:p w:rsidR="00A348B6" w:rsidRPr="00A348B6" w:rsidRDefault="00A348B6" w:rsidP="00A348B6">
      <w:pPr>
        <w:shd w:val="clear" w:color="auto" w:fill="FFFFFF"/>
        <w:spacing w:after="180" w:line="360" w:lineRule="atLeast"/>
        <w:ind w:left="5041"/>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rPr>
          <w:rFonts w:ascii="Times New Roman" w:eastAsia="Times New Roman" w:hAnsi="Times New Roman" w:cs="Times New Roman"/>
          <w:sz w:val="24"/>
          <w:szCs w:val="24"/>
          <w:lang w:eastAsia="ru-RU"/>
        </w:rPr>
      </w:pPr>
      <w:r w:rsidRPr="00A348B6">
        <w:rPr>
          <w:rFonts w:ascii="Tahoma" w:eastAsia="Times New Roman" w:hAnsi="Tahoma" w:cs="Tahoma"/>
          <w:color w:val="4A4A4A"/>
          <w:sz w:val="10"/>
          <w:szCs w:val="10"/>
          <w:lang w:eastAsia="ru-RU"/>
        </w:rPr>
        <w:br/>
      </w:r>
    </w:p>
    <w:p w:rsidR="00A348B6" w:rsidRPr="00A348B6" w:rsidRDefault="00A348B6" w:rsidP="00A348B6">
      <w:pPr>
        <w:shd w:val="clear" w:color="auto" w:fill="FFFFFF"/>
        <w:spacing w:after="180" w:line="360" w:lineRule="atLeast"/>
        <w:ind w:left="5041"/>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ind w:left="5041"/>
        <w:jc w:val="right"/>
        <w:rPr>
          <w:rFonts w:ascii="Tahoma" w:eastAsia="Times New Roman" w:hAnsi="Tahoma" w:cs="Tahoma"/>
          <w:color w:val="4A4A4A"/>
          <w:sz w:val="10"/>
          <w:szCs w:val="10"/>
          <w:lang w:eastAsia="ru-RU"/>
        </w:rPr>
      </w:pPr>
      <w:r w:rsidRPr="00A348B6">
        <w:rPr>
          <w:rFonts w:ascii="Tahoma" w:eastAsia="Times New Roman" w:hAnsi="Tahoma" w:cs="Tahoma"/>
          <w:i/>
          <w:iCs/>
          <w:color w:val="4A4A4A"/>
          <w:sz w:val="10"/>
          <w:lang w:eastAsia="ru-RU"/>
        </w:rPr>
        <w:t>Додаток 1</w:t>
      </w:r>
    </w:p>
    <w:p w:rsidR="00A348B6" w:rsidRPr="00A348B6" w:rsidRDefault="00A348B6" w:rsidP="00A348B6">
      <w:pPr>
        <w:shd w:val="clear" w:color="auto" w:fill="FFFFFF"/>
        <w:spacing w:after="180" w:line="360" w:lineRule="atLeast"/>
        <w:jc w:val="right"/>
        <w:rPr>
          <w:rFonts w:ascii="Tahoma" w:eastAsia="Times New Roman" w:hAnsi="Tahoma" w:cs="Tahoma"/>
          <w:color w:val="4A4A4A"/>
          <w:sz w:val="10"/>
          <w:szCs w:val="10"/>
          <w:lang w:eastAsia="ru-RU"/>
        </w:rPr>
      </w:pPr>
      <w:r w:rsidRPr="00A348B6">
        <w:rPr>
          <w:rFonts w:ascii="Tahoma" w:eastAsia="Times New Roman" w:hAnsi="Tahoma" w:cs="Tahoma"/>
          <w:i/>
          <w:iCs/>
          <w:color w:val="4A4A4A"/>
          <w:sz w:val="10"/>
          <w:lang w:eastAsia="ru-RU"/>
        </w:rPr>
        <w:t>до 67 сесiї мiської ради</w:t>
      </w:r>
    </w:p>
    <w:p w:rsidR="00A348B6" w:rsidRPr="00A348B6" w:rsidRDefault="00A348B6" w:rsidP="00A348B6">
      <w:pPr>
        <w:shd w:val="clear" w:color="auto" w:fill="FFFFFF"/>
        <w:spacing w:after="180" w:line="360" w:lineRule="atLeast"/>
        <w:jc w:val="right"/>
        <w:rPr>
          <w:rFonts w:ascii="Tahoma" w:eastAsia="Times New Roman" w:hAnsi="Tahoma" w:cs="Tahoma"/>
          <w:color w:val="4A4A4A"/>
          <w:sz w:val="10"/>
          <w:szCs w:val="10"/>
          <w:lang w:eastAsia="ru-RU"/>
        </w:rPr>
      </w:pPr>
      <w:r w:rsidRPr="00A348B6">
        <w:rPr>
          <w:rFonts w:ascii="Tahoma" w:eastAsia="Times New Roman" w:hAnsi="Tahoma" w:cs="Tahoma"/>
          <w:i/>
          <w:iCs/>
          <w:color w:val="4A4A4A"/>
          <w:sz w:val="10"/>
          <w:lang w:eastAsia="ru-RU"/>
        </w:rPr>
        <w:t>вiд « 25 » липня 2013р. № 2884</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lastRenderedPageBreak/>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jc w:val="center"/>
        <w:rPr>
          <w:rFonts w:ascii="Tahoma" w:eastAsia="Times New Roman" w:hAnsi="Tahoma" w:cs="Tahoma"/>
          <w:color w:val="4A4A4A"/>
          <w:sz w:val="10"/>
          <w:szCs w:val="10"/>
          <w:lang w:val="uk-UA" w:eastAsia="ru-RU"/>
        </w:rPr>
      </w:pPr>
      <w:r w:rsidRPr="00A348B6">
        <w:rPr>
          <w:rFonts w:ascii="Tahoma" w:eastAsia="Times New Roman" w:hAnsi="Tahoma" w:cs="Tahoma"/>
          <w:b/>
          <w:bCs/>
          <w:color w:val="4A4A4A"/>
          <w:sz w:val="10"/>
          <w:szCs w:val="10"/>
          <w:lang w:val="uk-UA" w:eastAsia="ru-RU"/>
        </w:rPr>
        <w:t>ІНФОРМАЦІЯ</w:t>
      </w:r>
    </w:p>
    <w:p w:rsidR="00A348B6" w:rsidRPr="00A348B6" w:rsidRDefault="00A348B6" w:rsidP="00A348B6">
      <w:pPr>
        <w:shd w:val="clear" w:color="auto" w:fill="FFFFFF"/>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b/>
          <w:bCs/>
          <w:color w:val="4A4A4A"/>
          <w:sz w:val="10"/>
          <w:lang w:eastAsia="ru-RU"/>
        </w:rPr>
        <w:t>про хід виконання у 2 кварталі 2013 року Програми відчуження об’єктів комунальної власності територіальної громади м. Сєвєродонецьк на 2012-2014 роки</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ind w:firstLine="709"/>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Відчуження об’єктів комунальної власності територіальної громади м. Сєвєродонецьк, у 2 кварталі 2013 року здійснювалось на підставі вимог ЗУ «Про місцеве самоврядування в Україні» від 21.05.1997р. № 280/97-ВР, ЗУ “Про приватизацію невеликих державних підприємств (малу приватизацію)» від 15.05.1996р. № 189/96-ВР зі змінами та доповненнями згідно ЗУ від 13.01.2012р. № 4336-</w:t>
      </w:r>
      <w:r w:rsidRPr="00A348B6">
        <w:rPr>
          <w:rFonts w:ascii="Tahoma" w:eastAsia="Times New Roman" w:hAnsi="Tahoma" w:cs="Tahoma"/>
          <w:color w:val="4A4A4A"/>
          <w:sz w:val="10"/>
          <w:szCs w:val="10"/>
          <w:lang w:val="en-US" w:eastAsia="ru-RU"/>
        </w:rPr>
        <w:t>VI</w:t>
      </w:r>
      <w:r w:rsidRPr="00A348B6">
        <w:rPr>
          <w:rFonts w:ascii="Tahoma" w:eastAsia="Times New Roman" w:hAnsi="Tahoma" w:cs="Tahoma"/>
          <w:color w:val="4A4A4A"/>
          <w:sz w:val="10"/>
          <w:szCs w:val="10"/>
          <w:lang w:eastAsia="ru-RU"/>
        </w:rPr>
        <w:t>, Програми відчуження об’єктів комунальної власності територіальної громади м. Сєвєродонецьк на 2012- 2014 роки, затвердженої рішенням міської ради від 26.04.2012р. № 1655, відповідно до Переліку об</w:t>
      </w:r>
      <w:r w:rsidRPr="00A348B6">
        <w:rPr>
          <w:rFonts w:ascii="Tahoma" w:eastAsia="Times New Roman" w:hAnsi="Tahoma" w:cs="Tahoma"/>
          <w:color w:val="4A4A4A"/>
          <w:sz w:val="10"/>
          <w:szCs w:val="10"/>
          <w:lang w:val="en-US" w:eastAsia="ru-RU"/>
        </w:rPr>
        <w:t>’</w:t>
      </w:r>
      <w:r w:rsidRPr="00A348B6">
        <w:rPr>
          <w:rFonts w:ascii="Tahoma" w:eastAsia="Times New Roman" w:hAnsi="Tahoma" w:cs="Tahoma"/>
          <w:color w:val="4A4A4A"/>
          <w:sz w:val="10"/>
          <w:szCs w:val="10"/>
          <w:lang w:eastAsia="ru-RU"/>
        </w:rPr>
        <w:t>єктів комунальної власності територіальної громади м. Сєвєродонецьк, що підлягають відчуженню у 2013 році, затвердженого рішенням міської ради від 26.03.2013р. № 2547.</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При реалізації</w:t>
      </w:r>
      <w:r w:rsidRPr="00A348B6">
        <w:rPr>
          <w:rFonts w:ascii="Tahoma" w:eastAsia="Times New Roman" w:hAnsi="Tahoma" w:cs="Tahoma"/>
          <w:b/>
          <w:bCs/>
          <w:color w:val="4A4A4A"/>
          <w:sz w:val="10"/>
          <w:szCs w:val="10"/>
          <w:lang w:eastAsia="ru-RU"/>
        </w:rPr>
        <w:t>,</w:t>
      </w:r>
      <w:r w:rsidRPr="00A348B6">
        <w:rPr>
          <w:rFonts w:ascii="Tahoma" w:eastAsia="Times New Roman" w:hAnsi="Tahoma" w:cs="Tahoma"/>
          <w:b/>
          <w:bCs/>
          <w:color w:val="4A4A4A"/>
          <w:sz w:val="10"/>
          <w:lang w:eastAsia="ru-RU"/>
        </w:rPr>
        <w:t> </w:t>
      </w:r>
      <w:r w:rsidRPr="00A348B6">
        <w:rPr>
          <w:rFonts w:ascii="Tahoma" w:eastAsia="Times New Roman" w:hAnsi="Tahoma" w:cs="Tahoma"/>
          <w:color w:val="4A4A4A"/>
          <w:sz w:val="10"/>
          <w:szCs w:val="10"/>
          <w:lang w:eastAsia="ru-RU"/>
        </w:rPr>
        <w:t>Фондом комунального майна, Програми відчуження об’єктів комунальної власності територіальної громади м. Сєвєродонецьк на 2012 -2014 роки виникли труднощі, пов’язані з реєстрацією права власності на земельні ділянки під об’єктами нерухомості, що належать до комунальної власності територіальної громади міста. Без формального оформлення та державної реєстрації прав власності земельних ділянок на яких розташовані об’єкти нерухомості комунальної власності, унеможливлюється укладання та нотаріальне посвідчення багатьох договорів купівлі-продажу окремо розташованих об’єктів.</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З метою забезпечення виконання завдань по реформуванню об’єктів комунальної власності в обсягах передбачених Програмою відчуження, необхідно виконати вимоги Закону України «Про внесення змін до деяких законодавчих актів України щодо розмежування земель державної та комунальної власності» від 06.09.2012р. № 5245-</w:t>
      </w:r>
      <w:r w:rsidRPr="00A348B6">
        <w:rPr>
          <w:rFonts w:ascii="Tahoma" w:eastAsia="Times New Roman" w:hAnsi="Tahoma" w:cs="Tahoma"/>
          <w:color w:val="4A4A4A"/>
          <w:sz w:val="10"/>
          <w:szCs w:val="10"/>
          <w:lang w:val="en-US" w:eastAsia="ru-RU"/>
        </w:rPr>
        <w:t>VI</w:t>
      </w:r>
      <w:r w:rsidRPr="00A348B6">
        <w:rPr>
          <w:rFonts w:ascii="Tahoma" w:eastAsia="Times New Roman" w:hAnsi="Tahoma" w:cs="Tahoma"/>
          <w:color w:val="4A4A4A"/>
          <w:sz w:val="10"/>
          <w:szCs w:val="10"/>
          <w:lang w:eastAsia="ru-RU"/>
        </w:rPr>
        <w:t>, яким зобов’язано органи місцевого самоврядування протягом року з дня його опублікування забезпечити:</w:t>
      </w:r>
    </w:p>
    <w:p w:rsidR="00A348B6" w:rsidRPr="00A348B6" w:rsidRDefault="00A348B6" w:rsidP="00A348B6">
      <w:pPr>
        <w:numPr>
          <w:ilvl w:val="0"/>
          <w:numId w:val="2"/>
        </w:numPr>
        <w:shd w:val="clear" w:color="auto" w:fill="FFFFFF"/>
        <w:spacing w:after="180" w:line="360" w:lineRule="atLeast"/>
        <w:ind w:left="36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оформлення комунальними підприємствами, установами, організаціями права постійного користування земельними ділянками, які використовують земельні ділянки комунальної власності без документів, що підтверджують право користування ними;</w:t>
      </w:r>
    </w:p>
    <w:p w:rsidR="00A348B6" w:rsidRPr="00A348B6" w:rsidRDefault="00A348B6" w:rsidP="00A348B6">
      <w:pPr>
        <w:numPr>
          <w:ilvl w:val="0"/>
          <w:numId w:val="2"/>
        </w:numPr>
        <w:shd w:val="clear" w:color="auto" w:fill="FFFFFF"/>
        <w:spacing w:after="180" w:line="360" w:lineRule="atLeast"/>
        <w:ind w:left="36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визначення будівель, споруд, інших об’єктів нерухомого майна комунальної власності, право власності на які не зареєстровано, та забезпечити здійснення державної реєстрації такого права.</w:t>
      </w:r>
    </w:p>
    <w:p w:rsidR="00A348B6" w:rsidRPr="00A348B6" w:rsidRDefault="00A348B6" w:rsidP="00A348B6">
      <w:pPr>
        <w:shd w:val="clear" w:color="auto" w:fill="FFFFFF"/>
        <w:spacing w:before="62" w:after="180" w:line="360" w:lineRule="atLeast"/>
        <w:ind w:left="45"/>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Саме пошуком дієвих механізмів вирішення цих невідкладних питань і займався Фонд у звітному періоді. Для їх вирішення необхідна злагоджена робота відповідних відділів та структур міської ради до компетенції яких відносяться питання надання дозволів на виконання проектів землевпорядних робіт, фінансове забезпечення та безпосереднє їх виконання у найкоротші терміни, юридичне супроводження та внесення до земельного кадастру відповідних земельних ділянок з наступною їх державною реєстрацією. А це вже поза компетенцією та повноваженнями Фонду комунального майна.</w:t>
      </w:r>
    </w:p>
    <w:p w:rsidR="00A348B6" w:rsidRPr="00A348B6" w:rsidRDefault="00A348B6" w:rsidP="00A348B6">
      <w:pPr>
        <w:shd w:val="clear" w:color="auto" w:fill="FFFFFF"/>
        <w:spacing w:before="62" w:after="180" w:line="360" w:lineRule="atLeast"/>
        <w:ind w:left="45"/>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В межах своїх повноважень Фонд комунального майна у другому кварталі 2013 року здійснив наступні заходи по реалізації Програми відчуження:</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Проведено інвентаризацію єдиного майнового комплексу КП «ТРК-СТВ»;</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Проведено інвентаризацію нежитлових приміщень, що планувались до відчуження у 2 кварталі поточного року;</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Проведено конкурс суб’єктів оціночної діяльності, що будуть залучені до оцінки об’єктів відчуження;</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Виконано і проведено рецензування двох незалежних оцінок об’єктів відчуження;</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Визначено умови продажу об’єктів, що пропонувались до відчуження;</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Здійснювалась публікація у міських засобах масової інформації стосовно об’єктів відчуження;</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Вивчався попит з боку потенційних інвесторів на об’єкти відчуження;</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lastRenderedPageBreak/>
        <w:t>Підготовлено і оголошено аукціон з продажу шести об’єктів</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нерухомості;</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Проведено</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перевірку</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виконання</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умов договору</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купівлі-продажу</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коммунального майна та</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інвестиційного</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плану</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розвитку</w:t>
      </w:r>
      <w:r w:rsidRPr="00A348B6">
        <w:rPr>
          <w:rFonts w:ascii="Tahoma" w:eastAsia="Times New Roman" w:hAnsi="Tahoma" w:cs="Tahoma"/>
          <w:color w:val="4A4A4A"/>
          <w:sz w:val="10"/>
          <w:lang w:eastAsia="ru-RU"/>
        </w:rPr>
        <w:t> </w:t>
      </w:r>
      <w:r w:rsidRPr="00A348B6">
        <w:rPr>
          <w:rFonts w:ascii="Tahoma" w:eastAsia="Times New Roman" w:hAnsi="Tahoma" w:cs="Tahoma"/>
          <w:color w:val="4A4A4A"/>
          <w:sz w:val="10"/>
          <w:szCs w:val="10"/>
          <w:lang w:eastAsia="ru-RU"/>
        </w:rPr>
        <w:t>ЕМК КП «СРБМУ»;</w:t>
      </w:r>
    </w:p>
    <w:p w:rsidR="00A348B6" w:rsidRPr="00A348B6" w:rsidRDefault="00A348B6" w:rsidP="00A348B6">
      <w:pPr>
        <w:numPr>
          <w:ilvl w:val="0"/>
          <w:numId w:val="3"/>
        </w:numPr>
        <w:shd w:val="clear" w:color="auto" w:fill="FFFFFF"/>
        <w:spacing w:before="62" w:after="180" w:line="360" w:lineRule="atLeast"/>
        <w:ind w:left="60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Здійснювався захист інтересів територіальної громади міста стосовно прав власності на об’єкти нерухомості комунальної власності у судах різних інстанцій;</w:t>
      </w:r>
    </w:p>
    <w:p w:rsidR="00A348B6" w:rsidRPr="00A348B6" w:rsidRDefault="00A348B6" w:rsidP="00A348B6">
      <w:pPr>
        <w:shd w:val="clear" w:color="auto" w:fill="FFFFFF"/>
        <w:spacing w:before="119" w:after="180" w:line="360" w:lineRule="atLeast"/>
        <w:ind w:left="45"/>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В результаті здійснення цих заходів у 2 кварталі 2013 року було відчужено, способом викупу орендарями, два об’єкти комунальної власності, перелік яких наведено у додатку 2. Укладено та нотаріально посвідчено два договори купівлі-продажу на загальну суму</w:t>
      </w:r>
      <w:r w:rsidRPr="00A348B6">
        <w:rPr>
          <w:rFonts w:ascii="Tahoma" w:eastAsia="Times New Roman" w:hAnsi="Tahoma" w:cs="Tahoma"/>
          <w:color w:val="4A4A4A"/>
          <w:sz w:val="10"/>
          <w:lang w:eastAsia="ru-RU"/>
        </w:rPr>
        <w:t> </w:t>
      </w:r>
      <w:r w:rsidRPr="00A348B6">
        <w:rPr>
          <w:rFonts w:ascii="Tahoma" w:eastAsia="Times New Roman" w:hAnsi="Tahoma" w:cs="Tahoma"/>
          <w:b/>
          <w:bCs/>
          <w:color w:val="4A4A4A"/>
          <w:sz w:val="10"/>
          <w:szCs w:val="10"/>
          <w:lang w:eastAsia="ru-RU"/>
        </w:rPr>
        <w:t>205101,6 грн</w:t>
      </w:r>
      <w:r w:rsidRPr="00A348B6">
        <w:rPr>
          <w:rFonts w:ascii="Tahoma" w:eastAsia="Times New Roman" w:hAnsi="Tahoma" w:cs="Tahoma"/>
          <w:color w:val="4A4A4A"/>
          <w:sz w:val="10"/>
          <w:szCs w:val="10"/>
          <w:lang w:eastAsia="ru-RU"/>
        </w:rPr>
        <w:t>. За рахунок роздержавлення цих об’єктів було оптимізовано структуру комунального майна шляхом виключення їх із складу об’єктів, які не достатньо ефективно використовувались і потребували значних коштів з бюджету на їх утримання.</w:t>
      </w:r>
    </w:p>
    <w:p w:rsidR="00A348B6" w:rsidRPr="00A348B6" w:rsidRDefault="00A348B6" w:rsidP="00A348B6">
      <w:pPr>
        <w:shd w:val="clear" w:color="auto" w:fill="FFFFFF"/>
        <w:spacing w:before="119" w:after="180" w:line="360" w:lineRule="atLeast"/>
        <w:ind w:left="45"/>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Аналізуючи стан процесу відчуження об’єктів комунальної власності територіальної громади міста у зазначений період слід відмітити, з одного боку, неврегульованість механізмів забезпечення виконання вимог законодавства України по розмежуванню земель державної і комунальної власності та їх державної реєстрації із за відсутності фінансування проектів землевпорядних робіт, а з іншого боку, низьку активність потенційних покупців на об’єкти, що пропонувались до продажу на аукціонах, а це в свою чергу призводить до збільшення витрат пов’язаних з повторною підготовкою об’єктів до проведення наступних аукціонів, та зриву запланованих термінів відчуження.</w:t>
      </w:r>
    </w:p>
    <w:p w:rsidR="00A348B6" w:rsidRPr="00A348B6" w:rsidRDefault="00A348B6" w:rsidP="00A348B6">
      <w:pPr>
        <w:shd w:val="clear" w:color="auto" w:fill="FFFFFF"/>
        <w:spacing w:before="119" w:after="180" w:line="360" w:lineRule="atLeast"/>
        <w:ind w:left="45"/>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Контроль виконання Програми та забезпечення законності дій при її виконанні з боку посадових осіб Фонду комунального майна, здійснювався міським головою, депутатами міської ради та правоохоронними органами. Порушень законодавчої та нормативно-правової бази України з питань приватизації, при виконанні цієї Програми, виявлено не було.</w:t>
      </w:r>
    </w:p>
    <w:p w:rsidR="00A348B6" w:rsidRPr="00A348B6" w:rsidRDefault="00A348B6" w:rsidP="00A348B6">
      <w:pPr>
        <w:shd w:val="clear" w:color="auto" w:fill="FFFFFF"/>
        <w:spacing w:before="119" w:after="180" w:line="360" w:lineRule="atLeast"/>
        <w:ind w:left="45"/>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before="119" w:after="180" w:line="360" w:lineRule="atLeast"/>
        <w:ind w:left="45"/>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ind w:firstLine="72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ind w:firstLine="720"/>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b/>
          <w:bCs/>
          <w:color w:val="4A4A4A"/>
          <w:sz w:val="10"/>
          <w:lang w:eastAsia="ru-RU"/>
        </w:rPr>
        <w:t>Секретар міської ради А.А. Гавриленко</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rPr>
          <w:rFonts w:ascii="Times New Roman" w:eastAsia="Times New Roman" w:hAnsi="Times New Roman" w:cs="Times New Roman"/>
          <w:sz w:val="24"/>
          <w:szCs w:val="24"/>
          <w:lang w:eastAsia="ru-RU"/>
        </w:rPr>
      </w:pPr>
      <w:r w:rsidRPr="00A348B6">
        <w:rPr>
          <w:rFonts w:ascii="Tahoma" w:eastAsia="Times New Roman" w:hAnsi="Tahoma" w:cs="Tahoma"/>
          <w:color w:val="4A4A4A"/>
          <w:sz w:val="10"/>
          <w:szCs w:val="10"/>
          <w:lang w:eastAsia="ru-RU"/>
        </w:rPr>
        <w:br/>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jc w:val="right"/>
        <w:rPr>
          <w:rFonts w:ascii="Tahoma" w:eastAsia="Times New Roman" w:hAnsi="Tahoma" w:cs="Tahoma"/>
          <w:color w:val="4A4A4A"/>
          <w:sz w:val="10"/>
          <w:szCs w:val="10"/>
          <w:lang w:eastAsia="ru-RU"/>
        </w:rPr>
      </w:pPr>
      <w:r w:rsidRPr="00A348B6">
        <w:rPr>
          <w:rFonts w:ascii="Tahoma" w:eastAsia="Times New Roman" w:hAnsi="Tahoma" w:cs="Tahoma"/>
          <w:i/>
          <w:iCs/>
          <w:color w:val="4A4A4A"/>
          <w:sz w:val="10"/>
          <w:lang w:eastAsia="ru-RU"/>
        </w:rPr>
        <w:t>Додаток 2</w:t>
      </w:r>
    </w:p>
    <w:p w:rsidR="00A348B6" w:rsidRPr="00A348B6" w:rsidRDefault="00A348B6" w:rsidP="00A348B6">
      <w:pPr>
        <w:shd w:val="clear" w:color="auto" w:fill="FFFFFF"/>
        <w:spacing w:after="180" w:line="360" w:lineRule="atLeast"/>
        <w:jc w:val="right"/>
        <w:rPr>
          <w:rFonts w:ascii="Tahoma" w:eastAsia="Times New Roman" w:hAnsi="Tahoma" w:cs="Tahoma"/>
          <w:color w:val="4A4A4A"/>
          <w:sz w:val="10"/>
          <w:szCs w:val="10"/>
          <w:lang w:eastAsia="ru-RU"/>
        </w:rPr>
      </w:pPr>
      <w:r w:rsidRPr="00A348B6">
        <w:rPr>
          <w:rFonts w:ascii="Tahoma" w:eastAsia="Times New Roman" w:hAnsi="Tahoma" w:cs="Tahoma"/>
          <w:i/>
          <w:iCs/>
          <w:color w:val="4A4A4A"/>
          <w:sz w:val="10"/>
          <w:lang w:eastAsia="ru-RU"/>
        </w:rPr>
        <w:t>до рiшення 67 сесiї мiської ради вiд «25 » липня 2013 року №2884</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b/>
          <w:bCs/>
          <w:color w:val="4A4A4A"/>
          <w:sz w:val="10"/>
          <w:lang w:eastAsia="ru-RU"/>
        </w:rPr>
        <w:t>ЗВІТ</w:t>
      </w:r>
    </w:p>
    <w:p w:rsidR="00A348B6" w:rsidRPr="00A348B6" w:rsidRDefault="00A348B6" w:rsidP="00A348B6">
      <w:pPr>
        <w:shd w:val="clear" w:color="auto" w:fill="FFFFFF"/>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b/>
          <w:bCs/>
          <w:color w:val="4A4A4A"/>
          <w:sz w:val="10"/>
          <w:lang w:eastAsia="ru-RU"/>
        </w:rPr>
        <w:t>про хід виконання у 2 кварталі 2013 року «Програми відчуження об’єктів комунальної власності територіальної громади м. Сєвєродонецьк на 2012 -2014 роки»</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lastRenderedPageBreak/>
        <w:t> </w:t>
      </w:r>
    </w:p>
    <w:tbl>
      <w:tblPr>
        <w:tblW w:w="783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364"/>
        <w:gridCol w:w="1387"/>
        <w:gridCol w:w="1777"/>
        <w:gridCol w:w="888"/>
        <w:gridCol w:w="1521"/>
        <w:gridCol w:w="1265"/>
        <w:gridCol w:w="634"/>
      </w:tblGrid>
      <w:tr w:rsidR="00A348B6" w:rsidRPr="00A348B6" w:rsidTr="00A348B6">
        <w:trPr>
          <w:trHeight w:val="948"/>
          <w:tblCellSpacing w:w="0" w:type="dxa"/>
        </w:trPr>
        <w:tc>
          <w:tcPr>
            <w:tcW w:w="32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w:t>
            </w:r>
          </w:p>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з/п</w:t>
            </w:r>
          </w:p>
        </w:tc>
        <w:tc>
          <w:tcPr>
            <w:tcW w:w="123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ind w:left="34" w:hanging="34"/>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Назва об’єкта</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Адреса об’єкта</w:t>
            </w:r>
          </w:p>
        </w:tc>
        <w:tc>
          <w:tcPr>
            <w:tcW w:w="792"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Балансо-утримувач</w:t>
            </w: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Ціна</w:t>
            </w:r>
          </w:p>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продажу,</w:t>
            </w:r>
          </w:p>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з урахуванням</w:t>
            </w:r>
          </w:p>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ПДВ</w:t>
            </w:r>
          </w:p>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тис.грн.</w:t>
            </w: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дата нотарiального посвiдчення договору</w:t>
            </w:r>
          </w:p>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купiвлi-продажу</w:t>
            </w:r>
          </w:p>
        </w:tc>
        <w:tc>
          <w:tcPr>
            <w:tcW w:w="56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Примітка</w:t>
            </w:r>
          </w:p>
        </w:tc>
      </w:tr>
      <w:tr w:rsidR="00A348B6" w:rsidRPr="00A348B6" w:rsidTr="00A348B6">
        <w:trPr>
          <w:trHeight w:val="96"/>
          <w:tblCellSpacing w:w="0" w:type="dxa"/>
        </w:trPr>
        <w:tc>
          <w:tcPr>
            <w:tcW w:w="32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1</w:t>
            </w:r>
          </w:p>
        </w:tc>
        <w:tc>
          <w:tcPr>
            <w:tcW w:w="123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2</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3</w:t>
            </w:r>
          </w:p>
        </w:tc>
        <w:tc>
          <w:tcPr>
            <w:tcW w:w="792"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4</w:t>
            </w: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5</w:t>
            </w: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6</w:t>
            </w:r>
          </w:p>
        </w:tc>
        <w:tc>
          <w:tcPr>
            <w:tcW w:w="56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7</w:t>
            </w:r>
          </w:p>
        </w:tc>
      </w:tr>
      <w:tr w:rsidR="00A348B6" w:rsidRPr="00A348B6" w:rsidTr="00A348B6">
        <w:trPr>
          <w:trHeight w:val="96"/>
          <w:tblCellSpacing w:w="0" w:type="dxa"/>
        </w:trPr>
        <w:tc>
          <w:tcPr>
            <w:tcW w:w="32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1.</w:t>
            </w:r>
          </w:p>
        </w:tc>
        <w:tc>
          <w:tcPr>
            <w:tcW w:w="123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Нежитлове приміщення</w:t>
            </w:r>
          </w:p>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пл. 150,1 м</w:t>
            </w:r>
            <w:r w:rsidRPr="00A348B6">
              <w:rPr>
                <w:rFonts w:ascii="Tahoma" w:eastAsia="Times New Roman" w:hAnsi="Tahoma" w:cs="Tahoma"/>
                <w:color w:val="4A4A4A"/>
                <w:sz w:val="10"/>
                <w:szCs w:val="10"/>
                <w:vertAlign w:val="superscript"/>
                <w:lang w:eastAsia="ru-RU"/>
              </w:rPr>
              <w:t>2</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м. Сєвєродонецьк,</w:t>
            </w:r>
          </w:p>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пр. Гвардєйський, 22/71</w:t>
            </w:r>
          </w:p>
        </w:tc>
        <w:tc>
          <w:tcPr>
            <w:tcW w:w="792"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ФКМ</w:t>
            </w: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162579,20</w:t>
            </w: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704</w:t>
            </w:r>
          </w:p>
          <w:p w:rsidR="00A348B6" w:rsidRPr="00A348B6" w:rsidRDefault="00A348B6" w:rsidP="00A348B6">
            <w:pPr>
              <w:spacing w:after="180" w:line="360" w:lineRule="atLeast"/>
              <w:ind w:left="-108"/>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20.05.2013</w:t>
            </w:r>
          </w:p>
        </w:tc>
        <w:tc>
          <w:tcPr>
            <w:tcW w:w="56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викуп</w:t>
            </w:r>
          </w:p>
        </w:tc>
      </w:tr>
      <w:tr w:rsidR="00A348B6" w:rsidRPr="00A348B6" w:rsidTr="00A348B6">
        <w:trPr>
          <w:trHeight w:val="588"/>
          <w:tblCellSpacing w:w="0" w:type="dxa"/>
        </w:trPr>
        <w:tc>
          <w:tcPr>
            <w:tcW w:w="32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2.</w:t>
            </w:r>
          </w:p>
        </w:tc>
        <w:tc>
          <w:tcPr>
            <w:tcW w:w="123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Нежитлове приміщення</w:t>
            </w:r>
          </w:p>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пл. 163,1 м</w:t>
            </w:r>
            <w:r w:rsidRPr="00A348B6">
              <w:rPr>
                <w:rFonts w:ascii="Tahoma" w:eastAsia="Times New Roman" w:hAnsi="Tahoma" w:cs="Tahoma"/>
                <w:color w:val="4A4A4A"/>
                <w:sz w:val="10"/>
                <w:szCs w:val="10"/>
                <w:vertAlign w:val="superscript"/>
                <w:lang w:eastAsia="ru-RU"/>
              </w:rPr>
              <w:t>2</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м. Сєвєродонецьк,</w:t>
            </w:r>
          </w:p>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пр. Радянський, 70/162</w:t>
            </w:r>
          </w:p>
        </w:tc>
        <w:tc>
          <w:tcPr>
            <w:tcW w:w="792"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ФКМ</w:t>
            </w:r>
          </w:p>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41522,40</w:t>
            </w: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718</w:t>
            </w:r>
          </w:p>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22.05.2013</w:t>
            </w:r>
          </w:p>
        </w:tc>
        <w:tc>
          <w:tcPr>
            <w:tcW w:w="56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викуп</w:t>
            </w:r>
          </w:p>
        </w:tc>
      </w:tr>
      <w:tr w:rsidR="00A348B6" w:rsidRPr="00A348B6" w:rsidTr="00A348B6">
        <w:trPr>
          <w:tblCellSpacing w:w="0" w:type="dxa"/>
        </w:trPr>
        <w:tc>
          <w:tcPr>
            <w:tcW w:w="32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tc>
        <w:tc>
          <w:tcPr>
            <w:tcW w:w="123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Усього:</w:t>
            </w:r>
          </w:p>
        </w:tc>
        <w:tc>
          <w:tcPr>
            <w:tcW w:w="158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tc>
        <w:tc>
          <w:tcPr>
            <w:tcW w:w="792"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tc>
        <w:tc>
          <w:tcPr>
            <w:tcW w:w="1356"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b/>
                <w:bCs/>
                <w:color w:val="4A4A4A"/>
                <w:sz w:val="10"/>
                <w:szCs w:val="10"/>
                <w:lang w:eastAsia="ru-RU"/>
              </w:rPr>
              <w:t>204101,16 в т.ч.</w:t>
            </w:r>
            <w:r w:rsidRPr="00A348B6">
              <w:rPr>
                <w:rFonts w:ascii="Tahoma" w:eastAsia="Times New Roman" w:hAnsi="Tahoma" w:cs="Tahoma"/>
                <w:color w:val="4A4A4A"/>
                <w:sz w:val="10"/>
                <w:szCs w:val="10"/>
                <w:lang w:eastAsia="ru-RU"/>
              </w:rPr>
              <w:t>ПДВ – 34016,86</w:t>
            </w:r>
          </w:p>
        </w:tc>
        <w:tc>
          <w:tcPr>
            <w:tcW w:w="1128"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jc w:val="center"/>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tc>
        <w:tc>
          <w:tcPr>
            <w:tcW w:w="564" w:type="dxa"/>
            <w:tcBorders>
              <w:top w:val="outset" w:sz="6" w:space="0" w:color="auto"/>
              <w:left w:val="outset" w:sz="6" w:space="0" w:color="auto"/>
              <w:bottom w:val="outset" w:sz="6" w:space="0" w:color="auto"/>
              <w:right w:val="outset" w:sz="6" w:space="0" w:color="auto"/>
            </w:tcBorders>
            <w:shd w:val="clear" w:color="auto" w:fill="FFFFFF"/>
            <w:hideMark/>
          </w:tcPr>
          <w:p w:rsidR="00A348B6" w:rsidRPr="00A348B6" w:rsidRDefault="00A348B6" w:rsidP="00A348B6">
            <w:pPr>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tc>
      </w:tr>
    </w:tbl>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ind w:hanging="363"/>
        <w:rPr>
          <w:rFonts w:ascii="Tahoma" w:eastAsia="Times New Roman" w:hAnsi="Tahoma" w:cs="Tahoma"/>
          <w:color w:val="4A4A4A"/>
          <w:sz w:val="10"/>
          <w:szCs w:val="10"/>
          <w:lang w:eastAsia="ru-RU"/>
        </w:rPr>
      </w:pPr>
      <w:r w:rsidRPr="00A348B6">
        <w:rPr>
          <w:rFonts w:ascii="Tahoma" w:eastAsia="Times New Roman" w:hAnsi="Tahoma" w:cs="Tahoma"/>
          <w:color w:val="4A4A4A"/>
          <w:sz w:val="10"/>
          <w:szCs w:val="10"/>
          <w:lang w:eastAsia="ru-RU"/>
        </w:rPr>
        <w:t> </w:t>
      </w:r>
    </w:p>
    <w:p w:rsidR="00A348B6" w:rsidRPr="00A348B6" w:rsidRDefault="00A348B6" w:rsidP="00A348B6">
      <w:pPr>
        <w:shd w:val="clear" w:color="auto" w:fill="FFFFFF"/>
        <w:spacing w:after="180" w:line="360" w:lineRule="atLeast"/>
        <w:rPr>
          <w:rFonts w:ascii="Tahoma" w:eastAsia="Times New Roman" w:hAnsi="Tahoma" w:cs="Tahoma"/>
          <w:color w:val="4A4A4A"/>
          <w:sz w:val="10"/>
          <w:szCs w:val="10"/>
          <w:lang w:eastAsia="ru-RU"/>
        </w:rPr>
      </w:pPr>
      <w:r w:rsidRPr="00A348B6">
        <w:rPr>
          <w:rFonts w:ascii="Tahoma" w:eastAsia="Times New Roman" w:hAnsi="Tahoma" w:cs="Tahoma"/>
          <w:b/>
          <w:bCs/>
          <w:color w:val="4A4A4A"/>
          <w:sz w:val="10"/>
          <w:lang w:eastAsia="ru-RU"/>
        </w:rPr>
        <w:t>Секретар міської ради А.А. Гавриленко</w:t>
      </w:r>
    </w:p>
    <w:p w:rsidR="00C62C0A" w:rsidRDefault="00C62C0A"/>
    <w:sectPr w:rsidR="00C62C0A" w:rsidSect="00C62C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2110C"/>
    <w:multiLevelType w:val="multilevel"/>
    <w:tmpl w:val="C1F21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EF2509E"/>
    <w:multiLevelType w:val="multilevel"/>
    <w:tmpl w:val="00980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350C21"/>
    <w:multiLevelType w:val="multilevel"/>
    <w:tmpl w:val="19567B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defaultTabStop w:val="708"/>
  <w:characterSpacingControl w:val="doNotCompress"/>
  <w:compat/>
  <w:rsids>
    <w:rsidRoot w:val="00A348B6"/>
    <w:rsid w:val="00A01B69"/>
    <w:rsid w:val="00A348B6"/>
    <w:rsid w:val="00C62C0A"/>
    <w:rsid w:val="00F846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0A"/>
  </w:style>
  <w:style w:type="paragraph" w:styleId="2">
    <w:name w:val="heading 2"/>
    <w:basedOn w:val="a"/>
    <w:link w:val="20"/>
    <w:uiPriority w:val="9"/>
    <w:qFormat/>
    <w:rsid w:val="00A348B6"/>
    <w:pPr>
      <w:spacing w:before="100" w:beforeAutospacing="1" w:after="100" w:afterAutospacing="1"/>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348B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348B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348B6"/>
  </w:style>
  <w:style w:type="character" w:styleId="a4">
    <w:name w:val="Emphasis"/>
    <w:basedOn w:val="a0"/>
    <w:uiPriority w:val="20"/>
    <w:qFormat/>
    <w:rsid w:val="00A348B6"/>
    <w:rPr>
      <w:i/>
      <w:iCs/>
    </w:rPr>
  </w:style>
  <w:style w:type="character" w:styleId="a5">
    <w:name w:val="Strong"/>
    <w:basedOn w:val="a0"/>
    <w:uiPriority w:val="22"/>
    <w:qFormat/>
    <w:rsid w:val="00A348B6"/>
    <w:rPr>
      <w:b/>
      <w:bCs/>
    </w:rPr>
  </w:style>
</w:styles>
</file>

<file path=word/webSettings.xml><?xml version="1.0" encoding="utf-8"?>
<w:webSettings xmlns:r="http://schemas.openxmlformats.org/officeDocument/2006/relationships" xmlns:w="http://schemas.openxmlformats.org/wordprocessingml/2006/main">
  <w:divs>
    <w:div w:id="163155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6810</Characters>
  <Application>Microsoft Office Word</Application>
  <DocSecurity>0</DocSecurity>
  <Lines>56</Lines>
  <Paragraphs>15</Paragraphs>
  <ScaleCrop>false</ScaleCrop>
  <Company>Северодонецкие вести</Company>
  <LinksUpToDate>false</LinksUpToDate>
  <CharactersWithSpaces>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Эдуард Яровой</dc:creator>
  <cp:keywords/>
  <dc:description/>
  <cp:lastModifiedBy>Эдуард Яровой</cp:lastModifiedBy>
  <cp:revision>2</cp:revision>
  <dcterms:created xsi:type="dcterms:W3CDTF">2016-07-19T05:26:00Z</dcterms:created>
  <dcterms:modified xsi:type="dcterms:W3CDTF">2016-07-19T05:26:00Z</dcterms:modified>
</cp:coreProperties>
</file>