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2A" w:rsidRPr="00B45F2A" w:rsidRDefault="00B45F2A" w:rsidP="00B45F2A">
      <w:pPr>
        <w:shd w:val="clear" w:color="auto" w:fill="FFFFFF"/>
        <w:spacing w:after="60"/>
        <w:jc w:val="center"/>
        <w:outlineLvl w:val="1"/>
        <w:rPr>
          <w:rFonts w:ascii="Tahoma" w:eastAsia="Times New Roman" w:hAnsi="Tahoma" w:cs="Tahoma"/>
          <w:b/>
          <w:bCs/>
          <w:color w:val="4A4A4A"/>
          <w:sz w:val="31"/>
          <w:szCs w:val="31"/>
          <w:lang w:eastAsia="ru-RU"/>
        </w:rPr>
      </w:pPr>
      <w:r w:rsidRPr="00B45F2A">
        <w:rPr>
          <w:rFonts w:ascii="Tahoma" w:eastAsia="Times New Roman" w:hAnsi="Tahoma" w:cs="Tahoma"/>
          <w:b/>
          <w:bCs/>
          <w:color w:val="4A4A4A"/>
          <w:sz w:val="31"/>
          <w:szCs w:val="31"/>
          <w:lang w:eastAsia="ru-RU"/>
        </w:rPr>
        <w:t> СЄВЄРОДОНЕЦЬКА МІСЬКА РАДА</w:t>
      </w:r>
    </w:p>
    <w:p w:rsidR="00B45F2A" w:rsidRPr="00B45F2A" w:rsidRDefault="00B45F2A" w:rsidP="00B45F2A">
      <w:pPr>
        <w:shd w:val="clear" w:color="auto" w:fill="FFFFFF"/>
        <w:spacing w:after="60"/>
        <w:jc w:val="center"/>
        <w:outlineLvl w:val="1"/>
        <w:rPr>
          <w:rFonts w:ascii="Tahoma" w:eastAsia="Times New Roman" w:hAnsi="Tahoma" w:cs="Tahoma"/>
          <w:b/>
          <w:bCs/>
          <w:color w:val="4A4A4A"/>
          <w:sz w:val="31"/>
          <w:szCs w:val="31"/>
          <w:lang w:eastAsia="ru-RU"/>
        </w:rPr>
      </w:pPr>
      <w:r w:rsidRPr="00B45F2A">
        <w:rPr>
          <w:rFonts w:ascii="Tahoma" w:eastAsia="Times New Roman" w:hAnsi="Tahoma" w:cs="Tahoma"/>
          <w:b/>
          <w:bCs/>
          <w:color w:val="4A4A4A"/>
          <w:sz w:val="31"/>
          <w:szCs w:val="31"/>
          <w:lang w:eastAsia="ru-RU"/>
        </w:rPr>
        <w:t>ШОСТОГО СКЛИКАННЯ</w:t>
      </w:r>
    </w:p>
    <w:p w:rsidR="00B45F2A" w:rsidRPr="00B45F2A" w:rsidRDefault="00B45F2A" w:rsidP="00B45F2A">
      <w:pPr>
        <w:shd w:val="clear" w:color="auto" w:fill="FFFFFF"/>
        <w:spacing w:after="60"/>
        <w:jc w:val="center"/>
        <w:outlineLvl w:val="1"/>
        <w:rPr>
          <w:rFonts w:ascii="Tahoma" w:eastAsia="Times New Roman" w:hAnsi="Tahoma" w:cs="Tahoma"/>
          <w:b/>
          <w:bCs/>
          <w:color w:val="4A4A4A"/>
          <w:sz w:val="31"/>
          <w:szCs w:val="31"/>
          <w:lang w:eastAsia="ru-RU"/>
        </w:rPr>
      </w:pPr>
      <w:r w:rsidRPr="00B45F2A">
        <w:rPr>
          <w:rFonts w:ascii="Tahoma" w:eastAsia="Times New Roman" w:hAnsi="Tahoma" w:cs="Tahoma"/>
          <w:b/>
          <w:bCs/>
          <w:color w:val="4A4A4A"/>
          <w:sz w:val="31"/>
          <w:szCs w:val="31"/>
          <w:lang w:eastAsia="ru-RU"/>
        </w:rPr>
        <w:t>Шістдесят дев’ята (чергова) сесія</w:t>
      </w:r>
    </w:p>
    <w:p w:rsidR="00B45F2A" w:rsidRPr="00B45F2A" w:rsidRDefault="00B45F2A" w:rsidP="00B45F2A">
      <w:pPr>
        <w:shd w:val="clear" w:color="auto" w:fill="FFFFFF"/>
        <w:spacing w:after="60"/>
        <w:jc w:val="center"/>
        <w:outlineLvl w:val="1"/>
        <w:rPr>
          <w:rFonts w:ascii="Tahoma" w:eastAsia="Times New Roman" w:hAnsi="Tahoma" w:cs="Tahoma"/>
          <w:b/>
          <w:bCs/>
          <w:color w:val="4A4A4A"/>
          <w:sz w:val="31"/>
          <w:szCs w:val="31"/>
          <w:lang w:eastAsia="ru-RU"/>
        </w:rPr>
      </w:pPr>
      <w:r w:rsidRPr="00B45F2A">
        <w:rPr>
          <w:rFonts w:ascii="Tahoma" w:eastAsia="Times New Roman" w:hAnsi="Tahoma" w:cs="Tahoma"/>
          <w:b/>
          <w:bCs/>
          <w:color w:val="4A4A4A"/>
          <w:sz w:val="31"/>
          <w:szCs w:val="31"/>
          <w:lang w:eastAsia="ru-RU"/>
        </w:rPr>
        <w:t> </w:t>
      </w:r>
    </w:p>
    <w:p w:rsidR="00B45F2A" w:rsidRPr="00B45F2A" w:rsidRDefault="00B45F2A" w:rsidP="00B45F2A">
      <w:pPr>
        <w:shd w:val="clear" w:color="auto" w:fill="FFFFFF"/>
        <w:spacing w:after="60"/>
        <w:jc w:val="center"/>
        <w:outlineLvl w:val="1"/>
        <w:rPr>
          <w:rFonts w:ascii="Tahoma" w:eastAsia="Times New Roman" w:hAnsi="Tahoma" w:cs="Tahoma"/>
          <w:b/>
          <w:bCs/>
          <w:color w:val="4A4A4A"/>
          <w:sz w:val="31"/>
          <w:szCs w:val="31"/>
          <w:lang w:eastAsia="ru-RU"/>
        </w:rPr>
      </w:pPr>
      <w:r w:rsidRPr="00B45F2A">
        <w:rPr>
          <w:rFonts w:ascii="Tahoma" w:eastAsia="Times New Roman" w:hAnsi="Tahoma" w:cs="Tahoma"/>
          <w:b/>
          <w:bCs/>
          <w:color w:val="4A4A4A"/>
          <w:sz w:val="31"/>
          <w:szCs w:val="31"/>
          <w:lang w:eastAsia="ru-RU"/>
        </w:rPr>
        <w:t>РІШЕННЯ №2986</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eastAsia="ru-RU"/>
        </w:rPr>
        <w:t>«22» серпня 2013 року </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eastAsia="ru-RU"/>
        </w:rPr>
        <w:t>м.Сєвєродонецьк</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p>
    <w:p w:rsidR="00B45F2A" w:rsidRPr="00B45F2A" w:rsidRDefault="00B45F2A" w:rsidP="00B45F2A">
      <w:pPr>
        <w:shd w:val="clear" w:color="auto" w:fill="FFFFFF"/>
        <w:spacing w:after="60"/>
        <w:outlineLvl w:val="1"/>
        <w:rPr>
          <w:rFonts w:ascii="Tahoma" w:eastAsia="Times New Roman" w:hAnsi="Tahoma" w:cs="Tahoma"/>
          <w:b/>
          <w:bCs/>
          <w:color w:val="4A4A4A"/>
          <w:sz w:val="31"/>
          <w:szCs w:val="31"/>
          <w:lang w:eastAsia="ru-RU"/>
        </w:rPr>
      </w:pPr>
      <w:r w:rsidRPr="00B45F2A">
        <w:rPr>
          <w:rFonts w:ascii="Tahoma" w:eastAsia="Times New Roman" w:hAnsi="Tahoma" w:cs="Tahoma"/>
          <w:b/>
          <w:bCs/>
          <w:color w:val="4A4A4A"/>
          <w:sz w:val="31"/>
          <w:szCs w:val="31"/>
          <w:lang w:val="uk-UA" w:eastAsia="ru-RU"/>
        </w:rPr>
        <w:t>Про обмеження в користуванні</w:t>
      </w:r>
      <w:r w:rsidRPr="00B45F2A">
        <w:rPr>
          <w:rFonts w:ascii="Tahoma" w:eastAsia="Times New Roman" w:hAnsi="Tahoma" w:cs="Tahoma"/>
          <w:b/>
          <w:bCs/>
          <w:color w:val="4A4A4A"/>
          <w:sz w:val="31"/>
          <w:lang w:val="uk-UA" w:eastAsia="ru-RU"/>
        </w:rPr>
        <w:t> </w:t>
      </w:r>
      <w:r w:rsidRPr="00B45F2A">
        <w:rPr>
          <w:rFonts w:ascii="Tahoma" w:eastAsia="Times New Roman" w:hAnsi="Tahoma" w:cs="Tahoma"/>
          <w:b/>
          <w:bCs/>
          <w:color w:val="4A4A4A"/>
          <w:sz w:val="31"/>
          <w:szCs w:val="31"/>
          <w:lang w:val="uk-UA" w:eastAsia="ru-RU"/>
        </w:rPr>
        <w:t>земельними ділянками</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p>
    <w:p w:rsidR="00B45F2A" w:rsidRPr="00B45F2A" w:rsidRDefault="00B45F2A" w:rsidP="00B45F2A">
      <w:pPr>
        <w:shd w:val="clear" w:color="auto" w:fill="FFFFFF"/>
        <w:spacing w:after="180" w:line="360" w:lineRule="atLeast"/>
        <w:jc w:val="both"/>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        Керуючись ст.26 Закону України «Про місцеве самоврядування в Україні»,</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 Законами України «Про основи містобудування», «Про регулювання містобудівної діяльності», враховуючи генплан м.Сєвєродонецька, затверджений рішенням сесії міської ради №717 від 26.04.1994р., лист ДП УДПІ «Укрміськбудпроект» №06/15-320 від 07.08.2013р., враховуючи рекомендації тимчасової комісії з питання використання об’єктів та земельних ділянок, які не відповідають генплану м.Сєвєродонецька, з метою врегулювання питання використання земельних </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ділянок, які знаходяться в користуванні фізичних та юридичних осіб і</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 не відповідають діючій містобудівній документації, та розташовані на вільних територіях перспективної забудови міста, Сєвєродонецька міська рада</w:t>
      </w:r>
    </w:p>
    <w:p w:rsidR="00B45F2A" w:rsidRPr="00B45F2A" w:rsidRDefault="00B45F2A" w:rsidP="00B45F2A">
      <w:pPr>
        <w:shd w:val="clear" w:color="auto" w:fill="FFFFFF"/>
        <w:spacing w:after="180" w:line="360" w:lineRule="atLeast"/>
        <w:jc w:val="both"/>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p>
    <w:p w:rsidR="00B45F2A" w:rsidRPr="00B45F2A" w:rsidRDefault="00B45F2A" w:rsidP="00B45F2A">
      <w:pPr>
        <w:shd w:val="clear" w:color="auto" w:fill="FFFFFF"/>
        <w:spacing w:after="180" w:line="360" w:lineRule="atLeast"/>
        <w:jc w:val="both"/>
        <w:rPr>
          <w:rFonts w:ascii="Tahoma" w:eastAsia="Times New Roman" w:hAnsi="Tahoma" w:cs="Tahoma"/>
          <w:color w:val="4A4A4A"/>
          <w:sz w:val="10"/>
          <w:szCs w:val="10"/>
          <w:lang w:eastAsia="ru-RU"/>
        </w:rPr>
      </w:pPr>
      <w:r w:rsidRPr="00B45F2A">
        <w:rPr>
          <w:rFonts w:ascii="Tahoma" w:eastAsia="Times New Roman" w:hAnsi="Tahoma" w:cs="Tahoma"/>
          <w:b/>
          <w:bCs/>
          <w:color w:val="4A4A4A"/>
          <w:sz w:val="10"/>
          <w:szCs w:val="10"/>
          <w:lang w:val="uk-UA" w:eastAsia="ru-RU"/>
        </w:rPr>
        <w:t>           </w:t>
      </w:r>
      <w:r w:rsidRPr="00B45F2A">
        <w:rPr>
          <w:rFonts w:ascii="Tahoma" w:eastAsia="Times New Roman" w:hAnsi="Tahoma" w:cs="Tahoma"/>
          <w:b/>
          <w:bCs/>
          <w:color w:val="4A4A4A"/>
          <w:sz w:val="10"/>
          <w:lang w:val="uk-UA" w:eastAsia="ru-RU"/>
        </w:rPr>
        <w:t> </w:t>
      </w:r>
      <w:r w:rsidRPr="00B45F2A">
        <w:rPr>
          <w:rFonts w:ascii="Tahoma" w:eastAsia="Times New Roman" w:hAnsi="Tahoma" w:cs="Tahoma"/>
          <w:b/>
          <w:bCs/>
          <w:color w:val="4A4A4A"/>
          <w:sz w:val="10"/>
          <w:szCs w:val="10"/>
          <w:lang w:val="uk-UA" w:eastAsia="ru-RU"/>
        </w:rPr>
        <w:t>ВИРІШИЛА:</w:t>
      </w:r>
    </w:p>
    <w:p w:rsidR="00B45F2A" w:rsidRPr="00B45F2A" w:rsidRDefault="00B45F2A" w:rsidP="00B45F2A">
      <w:pPr>
        <w:shd w:val="clear" w:color="auto" w:fill="FFFFFF"/>
        <w:spacing w:after="180" w:line="360" w:lineRule="atLeast"/>
        <w:jc w:val="both"/>
        <w:rPr>
          <w:rFonts w:ascii="Tahoma" w:eastAsia="Times New Roman" w:hAnsi="Tahoma" w:cs="Tahoma"/>
          <w:color w:val="4A4A4A"/>
          <w:sz w:val="10"/>
          <w:szCs w:val="10"/>
          <w:lang w:eastAsia="ru-RU"/>
        </w:rPr>
      </w:pPr>
      <w:r w:rsidRPr="00B45F2A">
        <w:rPr>
          <w:rFonts w:ascii="Tahoma" w:eastAsia="Times New Roman" w:hAnsi="Tahoma" w:cs="Tahoma"/>
          <w:b/>
          <w:bCs/>
          <w:color w:val="4A4A4A"/>
          <w:sz w:val="10"/>
          <w:szCs w:val="10"/>
          <w:lang w:val="uk-UA" w:eastAsia="ru-RU"/>
        </w:rPr>
        <w:t> </w:t>
      </w:r>
    </w:p>
    <w:p w:rsidR="00B45F2A" w:rsidRPr="00B45F2A" w:rsidRDefault="00B45F2A" w:rsidP="00B45F2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1.</w:t>
      </w:r>
      <w:r w:rsidRPr="00B45F2A">
        <w:rPr>
          <w:rFonts w:ascii="Times New Roman" w:eastAsia="Times New Roman" w:hAnsi="Times New Roman" w:cs="Times New Roman"/>
          <w:color w:val="4A4A4A"/>
          <w:sz w:val="14"/>
          <w:szCs w:val="14"/>
          <w:lang w:val="uk-UA" w:eastAsia="ru-RU"/>
        </w:rPr>
        <w:t>                </w:t>
      </w:r>
      <w:r w:rsidRPr="00B45F2A">
        <w:rPr>
          <w:rFonts w:ascii="Times New Roman" w:eastAsia="Times New Roman" w:hAnsi="Times New Roman" w:cs="Times New Roman"/>
          <w:color w:val="4A4A4A"/>
          <w:sz w:val="14"/>
          <w:lang w:val="uk-UA" w:eastAsia="ru-RU"/>
        </w:rPr>
        <w:t> </w:t>
      </w:r>
      <w:r w:rsidRPr="00B45F2A">
        <w:rPr>
          <w:rFonts w:ascii="Tahoma" w:eastAsia="Times New Roman" w:hAnsi="Tahoma" w:cs="Tahoma"/>
          <w:color w:val="4A4A4A"/>
          <w:sz w:val="10"/>
          <w:szCs w:val="10"/>
          <w:lang w:val="uk-UA" w:eastAsia="ru-RU"/>
        </w:rPr>
        <w:t>Для земельних ділянок,</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 вказаних в Додатку до рішення, які</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не відповідають діючій містобудівній документації та</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розташовані на вільних від забудови територіях, встановити режим тимчасової забудови. Дозволити на земельних ділянках розміщення об’єктів, під які надавались ці земельні ділянки та які не мають шкідливого впливу на існуючу забудову,</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до внесення змін в містобудівну документацію або до початку забудови територій, де розташовані земельні ділянки, згідно</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 з містобудівною документацією.</w:t>
      </w:r>
    </w:p>
    <w:p w:rsidR="00B45F2A" w:rsidRPr="00B45F2A" w:rsidRDefault="00B45F2A" w:rsidP="00B45F2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2.</w:t>
      </w:r>
      <w:r w:rsidRPr="00B45F2A">
        <w:rPr>
          <w:rFonts w:ascii="Times New Roman" w:eastAsia="Times New Roman" w:hAnsi="Times New Roman" w:cs="Times New Roman"/>
          <w:color w:val="4A4A4A"/>
          <w:sz w:val="14"/>
          <w:szCs w:val="14"/>
          <w:lang w:val="uk-UA" w:eastAsia="ru-RU"/>
        </w:rPr>
        <w:t>                </w:t>
      </w:r>
      <w:r w:rsidRPr="00B45F2A">
        <w:rPr>
          <w:rFonts w:ascii="Times New Roman" w:eastAsia="Times New Roman" w:hAnsi="Times New Roman" w:cs="Times New Roman"/>
          <w:color w:val="4A4A4A"/>
          <w:sz w:val="14"/>
          <w:lang w:val="uk-UA" w:eastAsia="ru-RU"/>
        </w:rPr>
        <w:t> </w:t>
      </w:r>
      <w:r w:rsidRPr="00B45F2A">
        <w:rPr>
          <w:rFonts w:ascii="Tahoma" w:eastAsia="Times New Roman" w:hAnsi="Tahoma" w:cs="Tahoma"/>
          <w:color w:val="4A4A4A"/>
          <w:sz w:val="10"/>
          <w:szCs w:val="10"/>
          <w:lang w:val="uk-UA" w:eastAsia="ru-RU"/>
        </w:rPr>
        <w:t>При забудові земельних ділянок вказаних в Додатку, відділу містобудування та архітектури надавати містобудівні умови та обмеження забудови земельних ділянок згідно до функціонального призначення</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 земельних ділянок та у відповідності до містобудівних норм, при наявності договорів оренди земельних ділянок, в яких визначені обмеження в користуванні цими земельними ділянками щодо тимчасової забудови земельних ділянок</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до внесення змін в містобудівну документацію або до початку забудови територій, де розташовані земельні ділянки, згідно</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 з містобудівною документацією.</w:t>
      </w:r>
    </w:p>
    <w:p w:rsidR="00B45F2A" w:rsidRPr="00B45F2A" w:rsidRDefault="00B45F2A" w:rsidP="00B45F2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3.</w:t>
      </w:r>
      <w:r w:rsidRPr="00B45F2A">
        <w:rPr>
          <w:rFonts w:ascii="Times New Roman" w:eastAsia="Times New Roman" w:hAnsi="Times New Roman" w:cs="Times New Roman"/>
          <w:color w:val="4A4A4A"/>
          <w:sz w:val="14"/>
          <w:szCs w:val="14"/>
          <w:lang w:val="uk-UA" w:eastAsia="ru-RU"/>
        </w:rPr>
        <w:t>                </w:t>
      </w:r>
      <w:r w:rsidRPr="00B45F2A">
        <w:rPr>
          <w:rFonts w:ascii="Times New Roman" w:eastAsia="Times New Roman" w:hAnsi="Times New Roman" w:cs="Times New Roman"/>
          <w:color w:val="4A4A4A"/>
          <w:sz w:val="14"/>
          <w:lang w:val="uk-UA" w:eastAsia="ru-RU"/>
        </w:rPr>
        <w:t> </w:t>
      </w:r>
      <w:r w:rsidRPr="00B45F2A">
        <w:rPr>
          <w:rFonts w:ascii="Tahoma" w:eastAsia="Times New Roman" w:hAnsi="Tahoma" w:cs="Tahoma"/>
          <w:color w:val="4A4A4A"/>
          <w:sz w:val="10"/>
          <w:szCs w:val="10"/>
          <w:lang w:val="uk-UA" w:eastAsia="ru-RU"/>
        </w:rPr>
        <w:t>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B45F2A" w:rsidRPr="00B45F2A" w:rsidRDefault="00B45F2A" w:rsidP="00B45F2A">
      <w:pPr>
        <w:shd w:val="clear" w:color="auto" w:fill="FFFFFF"/>
        <w:spacing w:after="180" w:line="360" w:lineRule="atLeast"/>
        <w:ind w:left="284"/>
        <w:jc w:val="both"/>
        <w:rPr>
          <w:rFonts w:ascii="Tahoma" w:eastAsia="Times New Roman" w:hAnsi="Tahoma" w:cs="Tahoma"/>
          <w:color w:val="4A4A4A"/>
          <w:sz w:val="10"/>
          <w:szCs w:val="10"/>
          <w:lang w:eastAsia="ru-RU"/>
        </w:rPr>
      </w:pPr>
      <w:r w:rsidRPr="00B45F2A">
        <w:rPr>
          <w:rFonts w:ascii="Tahoma" w:eastAsia="Times New Roman" w:hAnsi="Tahoma" w:cs="Tahoma"/>
          <w:b/>
          <w:bCs/>
          <w:color w:val="4A4A4A"/>
          <w:sz w:val="10"/>
          <w:szCs w:val="10"/>
          <w:lang w:val="uk-UA" w:eastAsia="ru-RU"/>
        </w:rPr>
        <w:t>Міський голова                                                           </w:t>
      </w:r>
      <w:r w:rsidRPr="00B45F2A">
        <w:rPr>
          <w:rFonts w:ascii="Tahoma" w:eastAsia="Times New Roman" w:hAnsi="Tahoma" w:cs="Tahoma"/>
          <w:b/>
          <w:bCs/>
          <w:color w:val="4A4A4A"/>
          <w:sz w:val="10"/>
          <w:lang w:val="uk-UA" w:eastAsia="ru-RU"/>
        </w:rPr>
        <w:t> </w:t>
      </w:r>
      <w:r w:rsidRPr="00B45F2A">
        <w:rPr>
          <w:rFonts w:ascii="Tahoma" w:eastAsia="Times New Roman" w:hAnsi="Tahoma" w:cs="Tahoma"/>
          <w:b/>
          <w:bCs/>
          <w:color w:val="4A4A4A"/>
          <w:sz w:val="10"/>
          <w:szCs w:val="10"/>
          <w:lang w:val="uk-UA" w:eastAsia="ru-RU"/>
        </w:rPr>
        <w:t>                           В.В.Казаков</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b/>
          <w:bCs/>
          <w:color w:val="4A4A4A"/>
          <w:sz w:val="10"/>
          <w:szCs w:val="10"/>
          <w:lang w:val="uk-UA" w:eastAsia="ru-RU"/>
        </w:rPr>
        <w:t>    </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b/>
          <w:bCs/>
          <w:color w:val="4A4A4A"/>
          <w:sz w:val="10"/>
          <w:szCs w:val="10"/>
          <w:lang w:val="uk-UA" w:eastAsia="ru-RU"/>
        </w:rPr>
        <w:t> </w:t>
      </w:r>
    </w:p>
    <w:p w:rsidR="00B45F2A" w:rsidRPr="00B45F2A" w:rsidRDefault="00B45F2A" w:rsidP="00B45F2A">
      <w:pPr>
        <w:shd w:val="clear" w:color="auto" w:fill="FFFFFF"/>
        <w:spacing w:after="180" w:line="360" w:lineRule="atLeast"/>
        <w:jc w:val="righ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r w:rsidRPr="00B45F2A">
        <w:rPr>
          <w:rFonts w:ascii="Tahoma" w:eastAsia="Times New Roman" w:hAnsi="Tahoma" w:cs="Tahoma"/>
          <w:i/>
          <w:iCs/>
          <w:color w:val="4A4A4A"/>
          <w:sz w:val="10"/>
          <w:lang w:eastAsia="ru-RU"/>
        </w:rPr>
        <w:t>                                      Додаток</w:t>
      </w:r>
    </w:p>
    <w:p w:rsidR="00B45F2A" w:rsidRPr="00B45F2A" w:rsidRDefault="00B45F2A" w:rsidP="00B45F2A">
      <w:pPr>
        <w:shd w:val="clear" w:color="auto" w:fill="FFFFFF"/>
        <w:spacing w:after="180" w:line="360" w:lineRule="atLeast"/>
        <w:jc w:val="right"/>
        <w:rPr>
          <w:rFonts w:ascii="Tahoma" w:eastAsia="Times New Roman" w:hAnsi="Tahoma" w:cs="Tahoma"/>
          <w:color w:val="4A4A4A"/>
          <w:sz w:val="10"/>
          <w:szCs w:val="10"/>
          <w:lang w:eastAsia="ru-RU"/>
        </w:rPr>
      </w:pPr>
      <w:r w:rsidRPr="00B45F2A">
        <w:rPr>
          <w:rFonts w:ascii="Tahoma" w:eastAsia="Times New Roman" w:hAnsi="Tahoma" w:cs="Tahoma"/>
          <w:i/>
          <w:iCs/>
          <w:color w:val="4A4A4A"/>
          <w:sz w:val="10"/>
          <w:lang w:eastAsia="ru-RU"/>
        </w:rPr>
        <w:lastRenderedPageBreak/>
        <w:t>                                                                                                         до рішення сесії міської ради</w:t>
      </w:r>
    </w:p>
    <w:p w:rsidR="00B45F2A" w:rsidRPr="00B45F2A" w:rsidRDefault="00B45F2A" w:rsidP="00B45F2A">
      <w:pPr>
        <w:shd w:val="clear" w:color="auto" w:fill="FFFFFF"/>
        <w:spacing w:after="180" w:line="360" w:lineRule="atLeast"/>
        <w:jc w:val="right"/>
        <w:rPr>
          <w:rFonts w:ascii="Tahoma" w:eastAsia="Times New Roman" w:hAnsi="Tahoma" w:cs="Tahoma"/>
          <w:color w:val="4A4A4A"/>
          <w:sz w:val="10"/>
          <w:szCs w:val="10"/>
          <w:lang w:eastAsia="ru-RU"/>
        </w:rPr>
      </w:pPr>
      <w:r w:rsidRPr="00B45F2A">
        <w:rPr>
          <w:rFonts w:ascii="Tahoma" w:eastAsia="Times New Roman" w:hAnsi="Tahoma" w:cs="Tahoma"/>
          <w:i/>
          <w:iCs/>
          <w:color w:val="4A4A4A"/>
          <w:sz w:val="10"/>
          <w:lang w:eastAsia="ru-RU"/>
        </w:rPr>
        <w:t>                                                                                                          №2986 від 22.08.2013р.</w:t>
      </w:r>
    </w:p>
    <w:p w:rsidR="00B45F2A" w:rsidRPr="00B45F2A" w:rsidRDefault="00B45F2A" w:rsidP="00B45F2A">
      <w:pPr>
        <w:shd w:val="clear" w:color="auto" w:fill="FFFFFF"/>
        <w:spacing w:after="180" w:line="360" w:lineRule="atLeast"/>
        <w:jc w:val="center"/>
        <w:rPr>
          <w:rFonts w:ascii="Tahoma" w:eastAsia="Times New Roman" w:hAnsi="Tahoma" w:cs="Tahoma"/>
          <w:color w:val="4A4A4A"/>
          <w:sz w:val="10"/>
          <w:szCs w:val="10"/>
          <w:lang w:eastAsia="ru-RU"/>
        </w:rPr>
      </w:pPr>
      <w:r w:rsidRPr="00B45F2A">
        <w:rPr>
          <w:rFonts w:ascii="Tahoma" w:eastAsia="Times New Roman" w:hAnsi="Tahoma" w:cs="Tahoma"/>
          <w:b/>
          <w:bCs/>
          <w:color w:val="4A4A4A"/>
          <w:sz w:val="10"/>
          <w:szCs w:val="10"/>
          <w:lang w:val="uk-UA" w:eastAsia="ru-RU"/>
        </w:rPr>
        <w:t>       </w:t>
      </w:r>
    </w:p>
    <w:p w:rsidR="00B45F2A" w:rsidRPr="00B45F2A" w:rsidRDefault="00B45F2A" w:rsidP="00B45F2A">
      <w:pPr>
        <w:shd w:val="clear" w:color="auto" w:fill="FFFFFF"/>
        <w:spacing w:after="180" w:line="360" w:lineRule="atLeast"/>
        <w:jc w:val="center"/>
        <w:rPr>
          <w:rFonts w:ascii="Tahoma" w:eastAsia="Times New Roman" w:hAnsi="Tahoma" w:cs="Tahoma"/>
          <w:color w:val="4A4A4A"/>
          <w:sz w:val="10"/>
          <w:szCs w:val="10"/>
          <w:lang w:eastAsia="ru-RU"/>
        </w:rPr>
      </w:pPr>
      <w:r w:rsidRPr="00B45F2A">
        <w:rPr>
          <w:rFonts w:ascii="Tahoma" w:eastAsia="Times New Roman" w:hAnsi="Tahoma" w:cs="Tahoma"/>
          <w:b/>
          <w:bCs/>
          <w:color w:val="4A4A4A"/>
          <w:sz w:val="10"/>
          <w:szCs w:val="10"/>
          <w:lang w:val="uk-UA" w:eastAsia="ru-RU"/>
        </w:rPr>
        <w:t> </w:t>
      </w:r>
    </w:p>
    <w:p w:rsidR="00B45F2A" w:rsidRPr="00B45F2A" w:rsidRDefault="00B45F2A" w:rsidP="00B45F2A">
      <w:pPr>
        <w:shd w:val="clear" w:color="auto" w:fill="FFFFFF"/>
        <w:spacing w:after="180" w:line="360" w:lineRule="atLeast"/>
        <w:jc w:val="center"/>
        <w:rPr>
          <w:rFonts w:ascii="Tahoma" w:eastAsia="Times New Roman" w:hAnsi="Tahoma" w:cs="Tahoma"/>
          <w:color w:val="4A4A4A"/>
          <w:sz w:val="10"/>
          <w:szCs w:val="10"/>
          <w:lang w:eastAsia="ru-RU"/>
        </w:rPr>
      </w:pPr>
      <w:r w:rsidRPr="00B45F2A">
        <w:rPr>
          <w:rFonts w:ascii="Tahoma" w:eastAsia="Times New Roman" w:hAnsi="Tahoma" w:cs="Tahoma"/>
          <w:b/>
          <w:bCs/>
          <w:color w:val="4A4A4A"/>
          <w:sz w:val="10"/>
          <w:szCs w:val="10"/>
          <w:lang w:val="uk-UA" w:eastAsia="ru-RU"/>
        </w:rPr>
        <w:t>Перелік земельних ділянок, які знаходяться в користуванні фізичних та юридичних осіб, та не відповідають містобудівній документації</w:t>
      </w:r>
    </w:p>
    <w:p w:rsidR="00B45F2A" w:rsidRPr="00B45F2A" w:rsidRDefault="00B45F2A" w:rsidP="00B45F2A">
      <w:pPr>
        <w:shd w:val="clear" w:color="auto" w:fill="FFFFFF"/>
        <w:spacing w:after="180" w:line="360" w:lineRule="atLeast"/>
        <w:jc w:val="center"/>
        <w:rPr>
          <w:rFonts w:ascii="Tahoma" w:eastAsia="Times New Roman" w:hAnsi="Tahoma" w:cs="Tahoma"/>
          <w:color w:val="4A4A4A"/>
          <w:sz w:val="10"/>
          <w:szCs w:val="10"/>
          <w:lang w:eastAsia="ru-RU"/>
        </w:rPr>
      </w:pPr>
      <w:r w:rsidRPr="00B45F2A">
        <w:rPr>
          <w:rFonts w:ascii="Arial" w:eastAsia="Times New Roman" w:hAnsi="Arial" w:cs="Arial"/>
          <w:b/>
          <w:bCs/>
          <w:color w:val="4A4A4A"/>
          <w:lang w:val="uk-UA" w:eastAsia="ru-RU"/>
        </w:rPr>
        <w:t> </w:t>
      </w:r>
    </w:p>
    <w:tbl>
      <w:tblPr>
        <w:tblW w:w="0" w:type="auto"/>
        <w:tblInd w:w="17" w:type="dxa"/>
        <w:shd w:val="clear" w:color="auto" w:fill="FFFFFF"/>
        <w:tblCellMar>
          <w:left w:w="0" w:type="dxa"/>
          <w:right w:w="0" w:type="dxa"/>
        </w:tblCellMar>
        <w:tblLook w:val="04A0"/>
      </w:tblPr>
      <w:tblGrid>
        <w:gridCol w:w="980"/>
        <w:gridCol w:w="2999"/>
        <w:gridCol w:w="3338"/>
        <w:gridCol w:w="2101"/>
      </w:tblGrid>
      <w:tr w:rsidR="00B45F2A" w:rsidRPr="00B45F2A" w:rsidTr="00B45F2A">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jc w:val="center"/>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b/>
                <w:bCs/>
                <w:color w:val="000000"/>
                <w:sz w:val="24"/>
                <w:szCs w:val="24"/>
                <w:lang w:eastAsia="ru-RU"/>
              </w:rPr>
              <w:t>№ п/п.</w:t>
            </w:r>
          </w:p>
        </w:tc>
        <w:tc>
          <w:tcPr>
            <w:tcW w:w="324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jc w:val="center"/>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b/>
                <w:bCs/>
                <w:color w:val="000000"/>
                <w:sz w:val="24"/>
                <w:szCs w:val="24"/>
                <w:lang w:eastAsia="ru-RU"/>
              </w:rPr>
              <w:t>Найменування</w:t>
            </w:r>
          </w:p>
        </w:tc>
        <w:tc>
          <w:tcPr>
            <w:tcW w:w="342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jc w:val="center"/>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b/>
                <w:bCs/>
                <w:color w:val="000000"/>
                <w:sz w:val="24"/>
                <w:szCs w:val="24"/>
                <w:lang w:eastAsia="ru-RU"/>
              </w:rPr>
              <w:t>Землекористувач</w:t>
            </w:r>
          </w:p>
        </w:tc>
        <w:tc>
          <w:tcPr>
            <w:tcW w:w="216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jc w:val="center"/>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b/>
                <w:bCs/>
                <w:color w:val="000000"/>
                <w:sz w:val="24"/>
                <w:szCs w:val="24"/>
                <w:lang w:eastAsia="ru-RU"/>
              </w:rPr>
              <w:t>Адреса</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1"/>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торгово-виставкового комплексу "Глобус"</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Дорошев Вадим Іванович</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72 квартал , пр.Космонавтів</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2"/>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магазину продовольчих і промислових товарів</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ТОВ "СТРОЙІНВЕСТ-СТ"</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73 мкp.</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3"/>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розважального центру</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ТОВ "СТРОЙІНВЕСТ-СТ"</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73 мкp.</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4"/>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спортивно-оздоровчого комплексу</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ТОВ "БІНІТРЕЙД"</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84 мкр.</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5"/>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АГЗП з автосервісним комплексом</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Подлєсний Микола Юрійович</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пр.Гвардійський - вул. Вілєсова</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6"/>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торгового комплексу</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ПРИВАТНЕ ПІДПРИЄМСТВО  ФІРМА "БОСКО"</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пр.Гвардійський ,   №28</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7"/>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магазину продтоварів</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Славгородська Тамара Назарівна</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вул.Леніна -  вул. Б.Ліщини</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8"/>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двоповерхового торговельно-розважального центру</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ТОВ "ДОН-АМБІРЕСУРС"</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вул.Науки , 73 мкр.</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9"/>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 xml:space="preserve">Ділянка під будівництво автосалону з продажу </w:t>
            </w:r>
            <w:r w:rsidRPr="00B45F2A">
              <w:rPr>
                <w:rFonts w:ascii="Times New Roman" w:eastAsia="Times New Roman" w:hAnsi="Times New Roman" w:cs="Times New Roman"/>
                <w:color w:val="4A4A4A"/>
                <w:sz w:val="24"/>
                <w:szCs w:val="24"/>
                <w:lang w:val="uk-UA" w:eastAsia="ru-RU"/>
              </w:rPr>
              <w:lastRenderedPageBreak/>
              <w:t>автомобілів</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lastRenderedPageBreak/>
              <w:t>Ляхова Тетяна Іванівна</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вул.Новікова</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10"/>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lastRenderedPageBreak/>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та експлуатацію автозаправного комплексу</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ТОВ "КОМПАНІЯ"МОСТКОМ"</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вул.Б. Ліщини - пр.Хіміків</w:t>
            </w:r>
          </w:p>
        </w:tc>
      </w:tr>
      <w:tr w:rsidR="00B45F2A" w:rsidRPr="00B45F2A" w:rsidTr="00B45F2A">
        <w:tc>
          <w:tcPr>
            <w:tcW w:w="92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numPr>
                <w:ilvl w:val="0"/>
                <w:numId w:val="11"/>
              </w:numPr>
              <w:spacing w:before="100" w:beforeAutospacing="1" w:after="120" w:line="360" w:lineRule="atLeast"/>
              <w:ind w:left="600"/>
              <w:rPr>
                <w:rFonts w:ascii="Times New Roman" w:eastAsia="Times New Roman" w:hAnsi="Times New Roman" w:cs="Times New Roman"/>
                <w:color w:val="4A4A4A"/>
                <w:sz w:val="24"/>
                <w:szCs w:val="24"/>
                <w:lang w:val="uk-UA" w:eastAsia="ru-RU"/>
              </w:rPr>
            </w:pPr>
            <w:r w:rsidRPr="00B45F2A">
              <w:rPr>
                <w:rFonts w:ascii="Times New Roman" w:eastAsia="Times New Roman" w:hAnsi="Times New Roman" w:cs="Times New Roman"/>
                <w:color w:val="4A4A4A"/>
                <w:sz w:val="24"/>
                <w:szCs w:val="24"/>
                <w:lang w:val="uk-UA" w:eastAsia="ru-RU"/>
              </w:rPr>
              <w:t> </w:t>
            </w:r>
          </w:p>
        </w:tc>
        <w:tc>
          <w:tcPr>
            <w:tcW w:w="3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Ділянка під будівництво торгового складу будівельних матеріалів з офісом</w:t>
            </w:r>
          </w:p>
        </w:tc>
        <w:tc>
          <w:tcPr>
            <w:tcW w:w="34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Бахтін Олексій Григорович</w:t>
            </w:r>
          </w:p>
        </w:tc>
        <w:tc>
          <w:tcPr>
            <w:tcW w:w="21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B45F2A" w:rsidRPr="00B45F2A" w:rsidRDefault="00B45F2A" w:rsidP="00B45F2A">
            <w:pPr>
              <w:spacing w:after="180" w:line="360" w:lineRule="atLeast"/>
              <w:rPr>
                <w:rFonts w:ascii="Times New Roman" w:eastAsia="Times New Roman" w:hAnsi="Times New Roman" w:cs="Times New Roman"/>
                <w:color w:val="4A4A4A"/>
                <w:sz w:val="24"/>
                <w:szCs w:val="24"/>
                <w:lang w:eastAsia="ru-RU"/>
              </w:rPr>
            </w:pPr>
            <w:r w:rsidRPr="00B45F2A">
              <w:rPr>
                <w:rFonts w:ascii="Times New Roman" w:eastAsia="Times New Roman" w:hAnsi="Times New Roman" w:cs="Times New Roman"/>
                <w:color w:val="4A4A4A"/>
                <w:sz w:val="24"/>
                <w:szCs w:val="24"/>
                <w:lang w:val="uk-UA" w:eastAsia="ru-RU"/>
              </w:rPr>
              <w:t>вул. Об'їзна</w:t>
            </w:r>
          </w:p>
        </w:tc>
      </w:tr>
    </w:tbl>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lang w:val="uk-UA" w:eastAsia="ru-RU"/>
        </w:rPr>
        <w:t> </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       Секретар ради                                                                </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А.А.Гавриленко</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p>
    <w:p w:rsidR="00B45F2A" w:rsidRPr="00B45F2A" w:rsidRDefault="00B45F2A" w:rsidP="00B45F2A">
      <w:pPr>
        <w:shd w:val="clear" w:color="auto" w:fill="FFFFFF"/>
        <w:spacing w:after="180" w:line="360" w:lineRule="atLeast"/>
        <w:rPr>
          <w:rFonts w:ascii="Tahoma" w:eastAsia="Times New Roman" w:hAnsi="Tahoma" w:cs="Tahoma"/>
          <w:color w:val="4A4A4A"/>
          <w:sz w:val="10"/>
          <w:szCs w:val="10"/>
          <w:lang w:eastAsia="ru-RU"/>
        </w:rPr>
      </w:pPr>
      <w:r w:rsidRPr="00B45F2A">
        <w:rPr>
          <w:rFonts w:ascii="Tahoma" w:eastAsia="Times New Roman" w:hAnsi="Tahoma" w:cs="Tahoma"/>
          <w:color w:val="4A4A4A"/>
          <w:sz w:val="10"/>
          <w:szCs w:val="10"/>
          <w:lang w:val="uk-UA" w:eastAsia="ru-RU"/>
        </w:rPr>
        <w:t>         </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       Начальник ВМтаА                                                         </w:t>
      </w:r>
      <w:r w:rsidRPr="00B45F2A">
        <w:rPr>
          <w:rFonts w:ascii="Tahoma" w:eastAsia="Times New Roman" w:hAnsi="Tahoma" w:cs="Tahoma"/>
          <w:color w:val="4A4A4A"/>
          <w:sz w:val="10"/>
          <w:lang w:val="uk-UA" w:eastAsia="ru-RU"/>
        </w:rPr>
        <w:t> </w:t>
      </w:r>
      <w:r w:rsidRPr="00B45F2A">
        <w:rPr>
          <w:rFonts w:ascii="Tahoma" w:eastAsia="Times New Roman" w:hAnsi="Tahoma" w:cs="Tahoma"/>
          <w:color w:val="4A4A4A"/>
          <w:sz w:val="10"/>
          <w:szCs w:val="10"/>
          <w:lang w:val="uk-UA" w:eastAsia="ru-RU"/>
        </w:rPr>
        <w:t>В.В.Волошин</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46045"/>
    <w:multiLevelType w:val="multilevel"/>
    <w:tmpl w:val="250A4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E0537"/>
    <w:multiLevelType w:val="multilevel"/>
    <w:tmpl w:val="8EAA8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87D0D"/>
    <w:multiLevelType w:val="multilevel"/>
    <w:tmpl w:val="6B3E83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644E40"/>
    <w:multiLevelType w:val="multilevel"/>
    <w:tmpl w:val="EBE4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8B6944"/>
    <w:multiLevelType w:val="multilevel"/>
    <w:tmpl w:val="6A7813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61376D"/>
    <w:multiLevelType w:val="multilevel"/>
    <w:tmpl w:val="0B005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462993"/>
    <w:multiLevelType w:val="multilevel"/>
    <w:tmpl w:val="2F285F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9D2B3B"/>
    <w:multiLevelType w:val="multilevel"/>
    <w:tmpl w:val="4E86CD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3249C7"/>
    <w:multiLevelType w:val="multilevel"/>
    <w:tmpl w:val="14A8D9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2B03FD"/>
    <w:multiLevelType w:val="multilevel"/>
    <w:tmpl w:val="73E44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845737"/>
    <w:multiLevelType w:val="multilevel"/>
    <w:tmpl w:val="3F6ED5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9"/>
  </w:num>
  <w:num w:numId="4">
    <w:abstractNumId w:val="5"/>
  </w:num>
  <w:num w:numId="5">
    <w:abstractNumId w:val="1"/>
  </w:num>
  <w:num w:numId="6">
    <w:abstractNumId w:val="4"/>
  </w:num>
  <w:num w:numId="7">
    <w:abstractNumId w:val="7"/>
  </w:num>
  <w:num w:numId="8">
    <w:abstractNumId w:val="6"/>
  </w:num>
  <w:num w:numId="9">
    <w:abstractNumId w:val="1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B45F2A"/>
    <w:rsid w:val="008927D7"/>
    <w:rsid w:val="00B45F2A"/>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45F2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5F2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45F2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5F2A"/>
  </w:style>
  <w:style w:type="character" w:styleId="a4">
    <w:name w:val="Emphasis"/>
    <w:basedOn w:val="a0"/>
    <w:uiPriority w:val="20"/>
    <w:qFormat/>
    <w:rsid w:val="00B45F2A"/>
    <w:rPr>
      <w:i/>
      <w:iCs/>
    </w:rPr>
  </w:style>
</w:styles>
</file>

<file path=word/webSettings.xml><?xml version="1.0" encoding="utf-8"?>
<w:webSettings xmlns:r="http://schemas.openxmlformats.org/officeDocument/2006/relationships" xmlns:w="http://schemas.openxmlformats.org/wordprocessingml/2006/main">
  <w:divs>
    <w:div w:id="4109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3645</Characters>
  <Application>Microsoft Office Word</Application>
  <DocSecurity>0</DocSecurity>
  <Lines>30</Lines>
  <Paragraphs>8</Paragraphs>
  <ScaleCrop>false</ScaleCrop>
  <Company>Северодонецкие вести</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2016-07-19T13:03:00Z</dcterms:created>
  <dcterms:modified xsi:type="dcterms:W3CDTF">2016-07-19T13:03:00Z</dcterms:modified>
</cp:coreProperties>
</file>