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25" w:rsidRPr="00F21C25" w:rsidRDefault="00F21C25" w:rsidP="00F21C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21C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F21C25" w:rsidRPr="00F21C25" w:rsidRDefault="00F21C25" w:rsidP="00F21C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21C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F21C25" w:rsidRPr="00F21C25" w:rsidRDefault="00F21C25" w:rsidP="00F21C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21C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друга (чергова) сесія</w:t>
      </w:r>
    </w:p>
    <w:p w:rsidR="00F21C25" w:rsidRPr="00F21C25" w:rsidRDefault="00F21C25" w:rsidP="00F21C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21C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21C25" w:rsidRPr="00F21C25" w:rsidRDefault="00F21C25" w:rsidP="00F21C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21C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  № 3047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ind w:left="3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26 вересня 2013 р.  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ind w:left="3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21C25" w:rsidRPr="00F21C25" w:rsidRDefault="00F21C25" w:rsidP="00F21C2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21C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затвердження</w:t>
      </w:r>
      <w:r w:rsidRPr="00F21C2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21C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Регламенту</w:t>
      </w:r>
      <w:r w:rsidRPr="00F21C2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21C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Центру надання адміністративних</w:t>
      </w:r>
      <w:r w:rsidRPr="00F21C2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21C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послуг у м.Сєвєродонецьку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21C25" w:rsidRPr="00F21C25" w:rsidRDefault="00F21C25" w:rsidP="00F21C25">
      <w:pPr>
        <w:shd w:val="clear" w:color="auto" w:fill="FFFFFF"/>
        <w:spacing w:after="15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підпункт</w:t>
      </w:r>
      <w:r w:rsidRPr="00F21C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ом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F21C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F21C25">
        <w:rPr>
          <w:rFonts w:ascii="Tahoma" w:eastAsia="Times New Roman" w:hAnsi="Tahoma" w:cs="Tahoma"/>
          <w:color w:val="000000"/>
          <w:sz w:val="10"/>
          <w:szCs w:val="10"/>
          <w:shd w:val="clear" w:color="auto" w:fill="FFFFFF"/>
          <w:lang w:eastAsia="ru-RU"/>
        </w:rPr>
        <w:t>пункту "б" статті 27</w:t>
      </w:r>
      <w:r w:rsidRPr="00F21C25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F21C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Закон</w:t>
      </w:r>
      <w:r w:rsidRPr="00F21C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 України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21C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"Про місцеве самоврядування в Україні"</w:t>
      </w:r>
      <w:r w:rsidRPr="00F21C25">
        <w:rPr>
          <w:rFonts w:ascii="Tahoma" w:eastAsia="Times New Roman" w:hAnsi="Tahoma" w:cs="Tahoma"/>
          <w:color w:val="000000"/>
          <w:sz w:val="10"/>
          <w:szCs w:val="10"/>
          <w:shd w:val="clear" w:color="auto" w:fill="FFFFFF"/>
          <w:lang w:eastAsia="ru-RU"/>
        </w:rPr>
        <w:t>,</w:t>
      </w:r>
      <w:r w:rsidRPr="00F21C25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F21C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Законом України «Про адміністративні послуги»,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F21C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Постановою Кабінету Міністрів України «</w:t>
      </w:r>
      <w:r w:rsidRPr="00F21C25">
        <w:rPr>
          <w:rFonts w:ascii="Tahoma" w:eastAsia="Times New Roman" w:hAnsi="Tahoma" w:cs="Tahoma"/>
          <w:color w:val="000000"/>
          <w:sz w:val="10"/>
          <w:lang w:val="uk-UA" w:eastAsia="ru-RU"/>
        </w:rPr>
        <w:t>Про затвердження Примірного регламенту центру надання адміністративних послуг» від 01.08.2013 р. № 588</w:t>
      </w:r>
      <w:r w:rsidRPr="00F21C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21C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 міська рада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Затвердити Регламент Центру надання адміністративних послуг у м.Сєвєродонецьку (додається).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</w:t>
      </w:r>
      <w:r w:rsidRPr="00F21C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Рішення підлягає оприлюдненню.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</w:t>
      </w:r>
      <w:r w:rsidRPr="00F21C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F21C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F21C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 виконання</w:t>
      </w:r>
      <w:r w:rsidRPr="00F21C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21C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даного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F21C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 покласти на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F21C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комісію мандатну, з питань депутатської діяльності, етики, по роботі ради та гласності</w:t>
      </w:r>
      <w:r w:rsidRPr="00F21C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Міський голова                                                                            </w:t>
      </w:r>
      <w:r w:rsidRPr="00F21C2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F21C25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В.В. Казаков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F21C25" w:rsidRPr="00F21C25" w:rsidRDefault="00F21C25" w:rsidP="00F21C25">
      <w:pPr>
        <w:shd w:val="clear" w:color="auto" w:fill="FFFFFF"/>
        <w:spacing w:line="133" w:lineRule="atLeast"/>
        <w:ind w:firstLine="629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 </w:t>
      </w:r>
    </w:p>
    <w:p w:rsidR="00F21C25" w:rsidRPr="00F21C25" w:rsidRDefault="00F21C25" w:rsidP="00F21C25">
      <w:pPr>
        <w:shd w:val="clear" w:color="auto" w:fill="FFFFFF"/>
        <w:spacing w:line="133" w:lineRule="atLeast"/>
        <w:ind w:firstLine="6299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72 сесії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міської ради VI скликання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26.09.2013 року  № 3047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ind w:firstLine="549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21C25" w:rsidRPr="00F21C25" w:rsidRDefault="00F21C25" w:rsidP="00F21C25">
      <w:pPr>
        <w:shd w:val="clear" w:color="auto" w:fill="FFFFFF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21C25" w:rsidRPr="00F21C25" w:rsidRDefault="00F21C25" w:rsidP="00F21C25">
      <w:pPr>
        <w:spacing w:after="180" w:line="360" w:lineRule="atLeast"/>
        <w:ind w:firstLine="5490"/>
        <w:jc w:val="both"/>
        <w:rPr>
          <w:rFonts w:ascii="Tahoma" w:eastAsia="Times New Roman" w:hAnsi="Tahoma" w:cs="Tahoma"/>
          <w:b/>
          <w:bCs/>
          <w:color w:val="4A4A4A"/>
          <w:sz w:val="10"/>
          <w:szCs w:val="10"/>
          <w:shd w:val="clear" w:color="auto" w:fill="FFFFFF"/>
          <w:lang w:eastAsia="ru-RU"/>
        </w:rPr>
      </w:pPr>
      <w:r w:rsidRPr="00F21C25">
        <w:rPr>
          <w:rFonts w:ascii="Tahoma" w:eastAsia="Times New Roman" w:hAnsi="Tahoma" w:cs="Tahoma"/>
          <w:b/>
          <w:bCs/>
          <w:color w:val="4A4A4A"/>
          <w:sz w:val="32"/>
          <w:lang w:eastAsia="ru-RU"/>
        </w:rPr>
        <w:t> 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lastRenderedPageBreak/>
        <w:t>РЕГЛАМЕНТ </w:t>
      </w:r>
      <w:r w:rsidRPr="00F21C25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br/>
      </w:r>
      <w:r w:rsidRPr="00F21C2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Ц</w:t>
      </w:r>
      <w:r w:rsidRPr="00F21C2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ентру надання адміністративних послуг</w:t>
      </w:r>
      <w:r w:rsidRPr="00F21C2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у м.Сєвєродонецьку</w:t>
      </w:r>
    </w:p>
    <w:p w:rsidR="00F21C25" w:rsidRPr="00F21C25" w:rsidRDefault="00F21C25" w:rsidP="00F21C2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21C2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Загальна частина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1. Цей регламент визначає порядок організації роботи центру надання адміністративних послуг у м.Сєвєродонецьку  (далі - центр), порядок дій адміністраторів центру та їх взаємодії із суб’єктами надання адміністративних послуг.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2. У цьому регламенті терміни вживаються у значенні, наведеному в </w:t>
      </w:r>
      <w:r w:rsidRPr="00F21C25">
        <w:rPr>
          <w:rFonts w:ascii="Tahoma" w:eastAsia="Times New Roman" w:hAnsi="Tahoma" w:cs="Tahoma"/>
          <w:sz w:val="10"/>
          <w:lang w:val="uk-UA" w:eastAsia="ru-RU"/>
        </w:rPr>
        <w:t>Законі України “Про адміністративні послуги”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3. Надання адміністративних послуг у центрі здійснюється з дотриманням таких принципів:</w:t>
      </w:r>
    </w:p>
    <w:p w:rsidR="00F21C25" w:rsidRPr="00F21C25" w:rsidRDefault="00F21C25" w:rsidP="00F21C25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верховенства права, у тому числі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,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 законності та юридичної визначеності;</w:t>
      </w:r>
    </w:p>
    <w:p w:rsidR="00F21C25" w:rsidRPr="00F21C25" w:rsidRDefault="00F21C25" w:rsidP="00F21C25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стабільності;</w:t>
      </w:r>
    </w:p>
    <w:p w:rsidR="00F21C25" w:rsidRPr="00F21C25" w:rsidRDefault="00F21C25" w:rsidP="00F21C25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рівності перед законом;</w:t>
      </w:r>
    </w:p>
    <w:p w:rsidR="00F21C25" w:rsidRPr="00F21C25" w:rsidRDefault="00F21C25" w:rsidP="00F21C25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відкритості та прозорості;</w:t>
      </w:r>
    </w:p>
    <w:p w:rsidR="00F21C25" w:rsidRPr="00F21C25" w:rsidRDefault="00F21C25" w:rsidP="00F21C25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оперативності та своєчасності;</w:t>
      </w:r>
    </w:p>
    <w:p w:rsidR="00F21C25" w:rsidRPr="00F21C25" w:rsidRDefault="00F21C25" w:rsidP="00F21C25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доступності інформації про надання адміністративних послуг;</w:t>
      </w:r>
    </w:p>
    <w:p w:rsidR="00F21C25" w:rsidRPr="00F21C25" w:rsidRDefault="00F21C25" w:rsidP="00F21C25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захищеності персональних даних;</w:t>
      </w:r>
    </w:p>
    <w:p w:rsidR="00F21C25" w:rsidRPr="00F21C25" w:rsidRDefault="00F21C25" w:rsidP="00F21C25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раціональної мінімізації кількості документів та процедурних дій, що вимагаються для отримання адміністративних послуг;</w:t>
      </w:r>
    </w:p>
    <w:p w:rsidR="00F21C25" w:rsidRPr="00F21C25" w:rsidRDefault="00F21C25" w:rsidP="00F21C25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неупередженості та справедливості;</w:t>
      </w:r>
    </w:p>
    <w:p w:rsidR="00F21C25" w:rsidRPr="00F21C25" w:rsidRDefault="00F21C25" w:rsidP="00F21C25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доступності та зручності для суб’єктів звернення.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4. Центр у своїй діяльності керується </w:t>
      </w:r>
      <w:r w:rsidRPr="00F21C25">
        <w:rPr>
          <w:rFonts w:ascii="Tahoma" w:eastAsia="Times New Roman" w:hAnsi="Tahoma" w:cs="Tahoma"/>
          <w:sz w:val="10"/>
          <w:lang w:eastAsia="ru-RU"/>
        </w:rPr>
        <w:t>Конституцією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 та законами України, актами Президента України і Кабінету Міністрів України, актами центральних та місцевих органів виконавчої влади, органів місцевого самоврядування, положенням про центр та регламентом центру.</w:t>
      </w:r>
    </w:p>
    <w:p w:rsidR="00F21C25" w:rsidRPr="00F21C25" w:rsidRDefault="00F21C25" w:rsidP="00F21C2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21C2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Вимоги до приміщення, в якому розміщується центр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5. Центр розміщується 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за адресою: вул.Леніна, б. 32-А, м.Сєвєродонецьк.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 складу Центру надання адміністративних послуг у м.Сєвєродонецьку входить його територіальний підрозділ, який розміщується в приміщенні Управління праці та соціального захисту населення  за адресою: вул.Новікова, б. 15-Б, м.Сєвєродонецьк.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На вході до приміщення розміщується інформаційна вивіска з найменуванням центру та графіком його роботи.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Графік роботи центру затверджується 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рішенням сесії Сєвєродонецької міської ради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 з урахуванням вимог </w:t>
      </w:r>
      <w:r w:rsidRPr="00F21C25">
        <w:rPr>
          <w:rFonts w:ascii="Tahoma" w:eastAsia="Times New Roman" w:hAnsi="Tahoma" w:cs="Tahoma"/>
          <w:sz w:val="10"/>
          <w:lang w:eastAsia="ru-RU"/>
        </w:rPr>
        <w:t>Закону України “Про адміністративні послуги”.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Вхід до центру облаштований пандусами для осіб з обмеженими фізичними можливостями.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На прилеглій до центру території передбачається місце для безоплатної стоянки автомобільного транспорту суб’єктів звернення. На прилеглих вулицях розміщуються вказівники, на яких зазначається місце розташування центру.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6. Приміщення центру поділяється на відкриту та закриту частини.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lastRenderedPageBreak/>
        <w:t>У відкритій частині здійснюється прийом, консультування, інформування та обслуговування суб’єктів звернення працівниками центру. Суб’єкти звернення мають безперешкодний доступ до такої частини центру.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Відкрита частина включає:</w:t>
      </w:r>
    </w:p>
    <w:p w:rsidR="00F21C25" w:rsidRPr="00F21C25" w:rsidRDefault="00F21C25" w:rsidP="00F21C25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сектор прийому;</w:t>
      </w:r>
    </w:p>
    <w:p w:rsidR="00F21C25" w:rsidRPr="00F21C25" w:rsidRDefault="00F21C25" w:rsidP="00F21C25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сектор інформування;</w:t>
      </w:r>
    </w:p>
    <w:p w:rsidR="00F21C25" w:rsidRPr="00F21C25" w:rsidRDefault="00F21C25" w:rsidP="00F21C25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сектор очікування;</w:t>
      </w:r>
    </w:p>
    <w:p w:rsidR="00F21C25" w:rsidRPr="00F21C25" w:rsidRDefault="00F21C25" w:rsidP="00F21C25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сектор обслуговування.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Відкрита частина розміщується на першому поверсі будівлі.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Закрита частина призначена виключно для опрацювання документів, пошти, надання консультацій з використанням телефонного зв’язку, а також збереження документів, справ, журналів обліку/реєстрації (розміщення архіву).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Вхід до закритої частини центру суб’єктам звернення забороняється.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7. Сектор прийому облаштовується при вході до приміщення центру. У ньому здійснюється загальне інформування та консультування суб’єктів звернення з питань роботи центру.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8. Сектор інформування облаштовується з метою ознайомлення суб’єктів звернення з порядком та умовами надання адміністративних послуг.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У секторі інформування розміщуються інформаційні стенди 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(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у разі можливості - інформаційні термінали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)</w:t>
      </w:r>
      <w:r w:rsidRPr="00F21C25">
        <w:rPr>
          <w:rFonts w:ascii="Tahoma" w:eastAsia="Times New Roman" w:hAnsi="Tahoma" w:cs="Tahoma"/>
          <w:b/>
          <w:bCs/>
          <w:i/>
          <w:iCs/>
          <w:color w:val="4A4A4A"/>
          <w:sz w:val="10"/>
          <w:lang w:val="uk-UA" w:eastAsia="ru-RU"/>
        </w:rPr>
        <w:t> 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в зручному для перегляду місці, що містять актуальну, вичерпну інформацію, необхідну для одержання адміністративних послуг.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Сектор інформування облаштовується столами, стільцями, телефон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о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м, факсимільним апарат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о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м та забезпечується канцелярськими товарами для заповнення суб’єктами звернення необхідних документів.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9. Сектор очікування розміщується в просторому приміщенні та облаштовується в достатній кількості стільцями.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Сектор очікування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,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 у разі потреби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,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 обладнується автоматизованою системою керування чергою, системою звукового інформування осіб похилого віку та тих, що мають проблеми із зором.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10. Сектор обслуговування утворений за принципом відкритості розміщення робочих місць. Кожне робоче місце для прийому суб’єктів звернення ма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є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 інформаційну табличку із зазначенням номера такого місця, прізвища, імені, по батькові та посади адміністратора центру.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11. Загальна площа секторів очікування та обслуговування 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ц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ентр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у 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становить не менш як 70 кв. метрів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12. На інформаційних стендах та інформаційних терміналах розміщується інформація, зокрема, про:</w:t>
      </w:r>
    </w:p>
    <w:p w:rsidR="00F21C25" w:rsidRPr="00F21C25" w:rsidRDefault="00F21C25" w:rsidP="00F21C25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найменування центру, його місцезнаходження, номери телефонів для довідок, факсу, адресу веб-сайту, електронної пошти;</w:t>
      </w:r>
    </w:p>
    <w:p w:rsidR="00F21C25" w:rsidRPr="00F21C25" w:rsidRDefault="00F21C25" w:rsidP="00F21C25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графік роботи центру (прийомні дні та години, вихідні дні);</w:t>
      </w:r>
    </w:p>
    <w:p w:rsidR="00F21C25" w:rsidRPr="00F21C25" w:rsidRDefault="00F21C25" w:rsidP="00F21C25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перелік адміністративних послуг, які надаються через центр, та відповідні інформаційні картки адміністративних послуг;</w:t>
      </w:r>
    </w:p>
    <w:p w:rsidR="00F21C25" w:rsidRPr="00F21C25" w:rsidRDefault="00F21C25" w:rsidP="00F21C25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строки надання адміністративних послуг;</w:t>
      </w:r>
    </w:p>
    <w:p w:rsidR="00F21C25" w:rsidRPr="00F21C25" w:rsidRDefault="00F21C25" w:rsidP="00F21C25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бланки заяв та інших документів, необхідних для звернення за отриманням адміністративних послуг, а також зразки їх заповнення;</w:t>
      </w:r>
    </w:p>
    <w:p w:rsidR="00F21C25" w:rsidRPr="00F21C25" w:rsidRDefault="00F21C25" w:rsidP="00F21C25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платіжні реквізити для оплати платних адміністративних послуг;</w:t>
      </w:r>
    </w:p>
    <w:p w:rsidR="00F21C25" w:rsidRPr="00F21C25" w:rsidRDefault="00F21C25" w:rsidP="00F21C25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lastRenderedPageBreak/>
        <w:t>супутні послуги, які надаються в приміщенні центру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 (у разі їх надання) 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;</w:t>
      </w:r>
    </w:p>
    <w:p w:rsidR="00F21C25" w:rsidRPr="00F21C25" w:rsidRDefault="00F21C25" w:rsidP="00F21C25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прізвище, ім’я, по батькові керівника центру, контактні телефони, адресу електронної пошти;</w:t>
      </w:r>
    </w:p>
    <w:p w:rsidR="00F21C25" w:rsidRPr="00F21C25" w:rsidRDefault="00F21C25" w:rsidP="00F21C25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користування інформаційними терміналами (у разі їх наявності);</w:t>
      </w:r>
    </w:p>
    <w:p w:rsidR="00F21C25" w:rsidRPr="00F21C25" w:rsidRDefault="00F21C25" w:rsidP="00F21C25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користування автоматизованою системою керування чергою (у разі її наявності);</w:t>
      </w:r>
    </w:p>
    <w:p w:rsidR="00F21C25" w:rsidRPr="00F21C25" w:rsidRDefault="00F21C25" w:rsidP="00F21C25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положення про центр;</w:t>
      </w:r>
    </w:p>
    <w:p w:rsidR="00F21C25" w:rsidRPr="00F21C25" w:rsidRDefault="00F21C25" w:rsidP="00F21C25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регламент центру.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13. Перелік адміністративних послуг, які надаються через центр, повинен розміщуватися у доступному та зручному для суб’єктів звернення місці, у тому числі на інформаційному терміналі (у разі його наявності). Адміністративні послуги в переліку групуються за моделлю життєвих ситуацій суб’єктів звернення та/або сферами правовідносин (законодавства), та/або суб’єктами надання адміністративних послуг.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14. Бланки заяв, необхідні для замовлення адміністративних послуг, розміщуються у секторі інформування на стендах-накопичувачах або стелажах із вільним доступом до них суб’єктів звернення.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У раз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і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 не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обхідності у центрі надаються супутні послуги з копіювання та розмноження документів.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15. Особам з обмеженими фізичними можливостями забезпечується вільний доступ до інформації, зазначеної в цьому розділі, шляхом розміщення буклетів, інформаційних листів на стендах. У разі можливості на інформаційних терміналах розміщується голосова інформація та відеоінформація, а також здійснюється інформування іншими способами, які є зручними для осіб з обмеженими фізичними можливостями.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16. На основі узгоджених рішень із суб’єктами надання адміністративних послуг у центрі можуть надаватися 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консультації та 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адміністративні послуги безпосередньо такими суб’єктами.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Інформаційна та технологічна картки адміністративних послуг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17. 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Сєвєродонецька міська рада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, а також керівник центру можуть вносити суб’єктові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(у тому числі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,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 для документів дозвільного характеру у сфері господарської діяльності).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18. У разі внесення змін до законодавства щодо надання адміністративної послуги суб’єкт її надання своєчасно інформує про це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Сєвєродонецьку міську раду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, а також керівника центру, готує пропозиції щодо внесення змін до інформаційних та/або технологічних карток згідно із законодавством.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</w:p>
    <w:p w:rsidR="00F21C25" w:rsidRPr="00F21C25" w:rsidRDefault="00F21C25" w:rsidP="00F21C2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21C2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Робота інформаційного підрозділу центру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19. Для надання допомоги суб’єктам звернення у користуванні інформаційними терміналами та автоматизованою системою керування чергою (у разі їх наявності), консультування із загальних питань організації роботи центру та порядку прийому суб’єктів звернення у центрі може утворюватися інформаційний підрозділ.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Інформаційний підрозділ центру також: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інформує за усним клопотанням суб’єкта звернення про належність порушеного ним питання до компетенції центру;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консультує суб’єктів звернення щодо порядку внесення плати (адміністративного збору) за надання платних адміністративних послуг, надає інформацію про платіжні реквізити для сплати адміністративного збору;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надає іншу інформацію та допомогу, що необхідні суб’єктам звернення до прийому їх адміністратором.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20. 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Міська рада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 створює та забезпечує роботу веб-сайту центру або окремого розділу на своєму веб-сайті, де розміщується інформація, зазначена в </w:t>
      </w:r>
      <w:r w:rsidRPr="00F21C25">
        <w:rPr>
          <w:rFonts w:ascii="Tahoma" w:eastAsia="Times New Roman" w:hAnsi="Tahoma" w:cs="Tahoma"/>
          <w:sz w:val="10"/>
          <w:lang w:eastAsia="ru-RU"/>
        </w:rPr>
        <w:t>пункті 12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 цього регламенту, а також відомості про місце розташування центру, найближчі зупинки громадського транспорту, під’їзні шляхи, місця паркування, інша корисна для суб’єктів звернення інформація.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lastRenderedPageBreak/>
        <w:t>21. Інформація, яка розміщується в приміщенні центру (в тому числі на інформаційних терміналах) та на веб-сайті, повинна бути актуальною і повною.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Інформація на веб-сайті центру має бути зручною для пошуку та копіювання.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22. Суб’єктам звернення, які звернулися до центру з використанням засобів телекомунікаційного зв’язку (телефону, електронної пошти, інших засобів зв’язку), забезпечується можливість отримання інформації про надання адміністративних послуг центром у спосіб, аналогічний способу звернення.</w:t>
      </w:r>
    </w:p>
    <w:p w:rsidR="00F21C25" w:rsidRPr="00F21C25" w:rsidRDefault="00F21C25" w:rsidP="00F21C2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21C2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Керування чергою в центрі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23. З метою забезпечення зручності та оперативності обслуговування суб’єктів звернення у центрі вживаються заходи для запобігання утворенню черги, а у разі її утворення - для керування чергою.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24. У разі запровадження автоматизованої системи керування чергою суб’єкт звернення для прийому адміністратором центру реєструється за допомогою термінала в такій системі, отримує відповідний номер у черзі та очікує на прийом. Автоматизована система керування чергою може передбачати персоніфіковану реєстрацію суб’єкта звернення (із зазначенням його прізвища та імені).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25. У центрі може здійснюватися попередній запис суб’єктів звернення на прийом до адміністратора на визначену дату та час. Попередній запис може здійснюватися шляхом особистого звернення до центру та/або електронної реєстрації на веб-сайті центру. Прийом суб’єктів звернення, які зареєструвалися шляхом попереднього запису, здійснюється у визначені керівником центру години.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26. Центр може здійснювати керування чергою в інший спосіб, гарантуючи дотримання принципу рівності суб’єктів звернення.</w:t>
      </w:r>
    </w:p>
    <w:p w:rsidR="00F21C25" w:rsidRPr="00F21C25" w:rsidRDefault="00F21C25" w:rsidP="00F21C2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21C2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Прийняття заяви та інших документів у центрі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27. Прийняття від суб’єкта звернення заяви та інших документів, необхідних для надання адміністративної послуги (далі - вхідний пакет документів), та повернення документів з результатом надання адміністративної послуги (далі - вихідний пакет документів) здійснюється виключно в центрі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 або у його 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територіальн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ому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 підрозділ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і.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28. Прийняття від суб’єктів господарювання заяви про видачу документів дозвільного характеру та документів, що додаються до неї, декларації відповідності матеріально-технічної бази вимогам законодавства, видача (переоформлення, видача дублікатів, анулювання) документів дозвільного характеру, які оформлені регіональними та місцевими дозвільними органами, та зареєстрованих декларацій здійснюються відповідно до </w:t>
      </w:r>
      <w:r w:rsidRPr="00F21C25">
        <w:rPr>
          <w:rFonts w:ascii="Tahoma" w:eastAsia="Times New Roman" w:hAnsi="Tahoma" w:cs="Tahoma"/>
          <w:sz w:val="10"/>
          <w:lang w:val="uk-UA" w:eastAsia="ru-RU"/>
        </w:rPr>
        <w:t>Закону України “Про дозвільну систему у сфері господарської діяльності”.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29. Суб’єкт звернення має право подати вхідний пакет документів у центрі особисто, через уповноваженого представника, надіслати його поштою (рекомендованим листом з описом вкладення) або в передбачених законом випадках за допомогою засобів телекомунікаційного зв’язку.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30. У разі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,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 коли вхідний пакет документів подається уповноваженим представником суб’єкта звернення, пред’являються документи, що посвідчують особу представника та засвідчують його повноваження.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31. Адміністратор центру перевіряє відповідність вхідного пакета документів інформаційній картці адміністративної послуги, у разі потреби надає допомогу суб’єктові звернення в заповненні бланка заяви. У разі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,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 коли суб’єкт звернення припустився неточностей або помилки під час заповнення бланка заяви, адміністратор повідомляє суб’єктові звернення про відповідні недоліки та надає необхідну допомогу в їх усуненні.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32. Заява, що подається для отримання адміністративної послуги, повинна містити дозвіл суб’єкта звернення на обробку, використання та зберігання його персональних даних у межах, необхідних для надання адміністративної послуги.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33. Адміністратор центру складає опис вхідного пакета документів, у якому зазначаються інформація про заяву та перелік документів, поданих суб’єктом звернення до неї, у двох примірниках.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34. Суб’єктові звернення надається примірник опису вхідного пакета документів за підписом і з проставленням печатки (штампа) відповідного адміністратора центру, а також відмітки про дату та час його складення. Другий примірник опису вхідного пакета документів зберігається в матеріалах справи, а у разі здійснення в центрі електронного документообігу - в електронній формі.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35. Адміністратор центру під час отримання вхідного пакета документів зобов’язаний з’ясувати прийнятний для суб’єкта звернення спосіб його повідомлення про результат надання адміністративної послуги, а також спосіб передачі суб’єктові звернення вихідного пакета документів (особисто, засобами поштового або телекомунікаційного зв’язку), про що зазначається в описі вхідного пакета документів у паперовій та/або електронній формі.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lastRenderedPageBreak/>
        <w:t>36. Адміністратор центру здійснює реєстрацію вхідного пакета документів шляхом внесення даних до журналу реєстрації (у паперовій та/або електронній формі). Після внесення даних справі присвоюється номер, за яким здійснюється її ідентифікація та який фіксується на бланку заяви і в описі вхідного пакета документів.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37. У разі коли вхідний пакет документів отримано засобами поштового зв’язку і він не містить інформації про прийнятний для суб’єкта звернення спосіб його повідомлення, адміністратор центру не пізніше наступного робочого дня надсилає суб’єктові звернення опис вхідного пакета документів  електронною поштою (та/або його відскановану копію) чи іншими засобами телекомунікаційного зв’язку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, а у разі їх відсутності -  поштою.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38. Після реєстрації вхідного пакета документів адміністратор центру формує справу у паперовій та/або електронній формі та в разі потреби здійснює її копіювання та/або сканування.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39. Інформацію про вчинені дії адміністратор центру вносить до листа про проходження справи у паперовій та/або електронній формі (крім випадків, коли адміністратор є суб’єктом надання адміністративної послуги). Лист про проходження справи також містить відомості про послідовність дій (етапів), необхідних для надання адміністративної послуги, та залучених суб’єктів надання адміністративних послуг.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Опрацювання справи (вхідного пакета документів)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40. Після вчинення дій, передбачених </w:t>
      </w:r>
      <w:r w:rsidRPr="00F21C25">
        <w:rPr>
          <w:rFonts w:ascii="Tahoma" w:eastAsia="Times New Roman" w:hAnsi="Tahoma" w:cs="Tahoma"/>
          <w:sz w:val="10"/>
          <w:lang w:eastAsia="ru-RU"/>
        </w:rPr>
        <w:t>пунктами 27-39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 цього регламенту, адміністратор центру зобов’язаний невідкладно, але не пізніше наступного робочого дня, надіслати (передати) вхідний пакет документів суб’єктові надання адміністративної послуги, до компетенції якого належить питання прийняття рішення у справі, про що робиться відмітка в листі про проходження справи із зазначенням часу, дати та найменування суб’єкта надання адміністративної послуги, до якого її надіслано, та проставленням печатки (штампа) адміністратора, що передав відповідні документи.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41. Передача справ у паперовій формі від центру до суб’єкта надання адміністративної послуги здійснюється в порядку, визначеному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Сєвє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р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одонецькою міською радою,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 але не менше ніж один раз протягом робочого дня, шляхом доставки працівником центру, надсилання відсканованих документів з використанням засобів телекомунікаційного зв’язку.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42. Після отримання справи суб’єкт надання адміністративної послуги зобов’язаний внести запис про її отримання із зазначенням дати та часу, прізвища, імені, по батькові відповідальної посадової особи до листа про проходження справи.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43. Контроль за дотриманням суб’єктами надання адміністративних послуг строків розгляду справ та прийняття рішень здійснюється адміністраторами центру відповідно до розподілу обов’язків за рішенням керівника центру.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44. Суб’єкт надання адміністративної послуги зобов’язаний:</w:t>
      </w:r>
    </w:p>
    <w:p w:rsidR="00F21C25" w:rsidRPr="00F21C25" w:rsidRDefault="00F21C25" w:rsidP="00F21C25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с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воєчасно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, але не пізніше ніж за один робочий день до закінчення строку надання послуги,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 інформувати центр про перешкоди у дотриманні строку розгляду справи та прийнятті рішення, інші проблеми, що виникають під час розгляду справи;</w:t>
      </w:r>
    </w:p>
    <w:p w:rsidR="00F21C25" w:rsidRPr="00F21C25" w:rsidRDefault="00F21C25" w:rsidP="00F21C25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надавати інформацію на усний або письмовий запит (у тому числі шляхом надсилання на адресу електронної пошти) адміністратора центру про хід розгляду справи.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У разі виявлення факту порушення вимог законодавства щодо розгляду справи (строків надання адміністративної послуги тощо) адміністратор центру невідкладно інформує про це керівника центру.</w:t>
      </w:r>
    </w:p>
    <w:p w:rsidR="00F21C25" w:rsidRPr="00F21C25" w:rsidRDefault="00F21C25" w:rsidP="00F21C2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21C2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Передача вихідного пакета документів суб’єктові звернення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45. Суб’єкт надання адміністративної послуги невідкладно</w:t>
      </w:r>
      <w:r w:rsidRPr="00F21C25">
        <w:rPr>
          <w:rFonts w:ascii="Tahoma" w:eastAsia="Times New Roman" w:hAnsi="Tahoma" w:cs="Tahoma"/>
          <w:b/>
          <w:bCs/>
          <w:i/>
          <w:iCs/>
          <w:color w:val="4A4A4A"/>
          <w:sz w:val="10"/>
          <w:lang w:eastAsia="ru-RU"/>
        </w:rPr>
        <w:t> 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після оформлення результату, але не пізніше</w:t>
      </w:r>
      <w:r w:rsidRPr="00F21C25">
        <w:rPr>
          <w:rFonts w:ascii="Tahoma" w:eastAsia="Times New Roman" w:hAnsi="Tahoma" w:cs="Tahoma"/>
          <w:b/>
          <w:bCs/>
          <w:i/>
          <w:iCs/>
          <w:color w:val="4A4A4A"/>
          <w:sz w:val="10"/>
          <w:lang w:eastAsia="ru-RU"/>
        </w:rPr>
        <w:t> 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ніж за один робочий день до закінчення строку 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надання адміністративної послуги, формує вихідний пакет документів та передає його до центру, про що зазначається в листі про проходження справи.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46. Адміністратор центру невідкладно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, але</w:t>
      </w:r>
      <w:r w:rsidRPr="00F21C25">
        <w:rPr>
          <w:rFonts w:ascii="Tahoma" w:eastAsia="Times New Roman" w:hAnsi="Tahoma" w:cs="Tahoma"/>
          <w:b/>
          <w:bCs/>
          <w:i/>
          <w:iCs/>
          <w:color w:val="4A4A4A"/>
          <w:sz w:val="10"/>
          <w:lang w:val="uk-UA" w:eastAsia="ru-RU"/>
        </w:rPr>
        <w:t> 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не пізніше</w:t>
      </w:r>
      <w:r w:rsidRPr="00F21C25">
        <w:rPr>
          <w:rFonts w:ascii="Tahoma" w:eastAsia="Times New Roman" w:hAnsi="Tahoma" w:cs="Tahoma"/>
          <w:b/>
          <w:bCs/>
          <w:i/>
          <w:iCs/>
          <w:color w:val="4A4A4A"/>
          <w:sz w:val="10"/>
          <w:lang w:eastAsia="ru-RU"/>
        </w:rPr>
        <w:t> 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наступного робочого дня після 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надходження вихідного пакета документів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,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 повідомляє про результат надання адміністративної послуги суб’єктові звернення у спосіб, зазначений в описі вхідного пакета документів, здійснює реєстрацію вихідного пакета документів шляхом внесення відповідних відомостей до листа про проходження справи, а також до відповідного реєстру в паперовій та/або електронній формі.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lastRenderedPageBreak/>
        <w:t>47. Вихідний пакет документів передається суб’єктові звернення особисто під розписку (у тому числі його уповноваженому представникові) у разі пред’явлення документа, що посвідчує особу та/або засвідчує його повноваження, або у випадках, передбачених законодавством, передається в інший прийнятний для суб’єкта звернення спосіб.</w:t>
      </w:r>
    </w:p>
    <w:p w:rsidR="00F21C25" w:rsidRPr="00F21C25" w:rsidRDefault="00F21C25" w:rsidP="00F21C2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21C2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Інформація про дату отримання вихідного пакета документів суб’єктом звернення зберігається в матеріалах справи.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48. У разі незазначення суб’єктом звернення зручного для нього способу отримання вихідного пакета документів або його неотримання в центрі протягом двох місяців відповідні документи надсилаються суб’єктові звернення засобами поштового зв’язку. У разі відсутності відомостей про місце проживання (місцезнаходження) суб’єкта звернення та іншої контактної інформації вихідний пакет документів зберігається протягом тримісячного строку в центрі, а потім передається для архівного зберігання.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49. У разі коли адміністративна послуга надається невідкладно, адміністратор центру реєструє інформацію про результат розгляду справи в журналі (у паперовій та/або електронній формі), негайно формує вихідний пакет документів та передає його суб’єктові звернення.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50. Відповідальність за несвоєчасне та неналежне надання адміністративних послуг несуть суб’єкти надання таких послуг та в межах повноважень адміністратори і керівник центру.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51. Інформація про кожну надану адміністративну послугу та справу у паперовій (копія) та/або електронній (відскановані документи) формі, зокрема</w:t>
      </w: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,</w:t>
      </w: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 заява суб’єкта звернення, результат надання адміністративної послуги та інші документи, визначені органом, що утворив центр, зберігається у центрі.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eastAsia="ru-RU"/>
        </w:rPr>
        <w:t>Усі матеріали справи зберігаються у суб’єкта надання адміністративної послуги.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</w:p>
    <w:p w:rsidR="00F21C25" w:rsidRPr="00F21C25" w:rsidRDefault="00F21C25" w:rsidP="00F21C2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1C2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Секретар ради                                                                    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7E9"/>
    <w:multiLevelType w:val="multilevel"/>
    <w:tmpl w:val="B2003C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4005EE"/>
    <w:multiLevelType w:val="multilevel"/>
    <w:tmpl w:val="441EB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E33D22"/>
    <w:multiLevelType w:val="multilevel"/>
    <w:tmpl w:val="DDD4A9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E0530E"/>
    <w:multiLevelType w:val="multilevel"/>
    <w:tmpl w:val="06BA5C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F21C25"/>
    <w:rsid w:val="00157FB9"/>
    <w:rsid w:val="00C62C0A"/>
    <w:rsid w:val="00F21C25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21C2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1C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1C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C25"/>
  </w:style>
  <w:style w:type="character" w:customStyle="1" w:styleId="rvts23">
    <w:name w:val="rvts23"/>
    <w:basedOn w:val="a0"/>
    <w:rsid w:val="00F21C25"/>
  </w:style>
  <w:style w:type="paragraph" w:customStyle="1" w:styleId="fr1">
    <w:name w:val="fr1"/>
    <w:basedOn w:val="a"/>
    <w:rsid w:val="00F21C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1C25"/>
    <w:rPr>
      <w:i/>
      <w:iCs/>
    </w:rPr>
  </w:style>
  <w:style w:type="paragraph" w:customStyle="1" w:styleId="st6">
    <w:name w:val="st6"/>
    <w:basedOn w:val="a"/>
    <w:rsid w:val="00F21C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24">
    <w:name w:val="st24"/>
    <w:basedOn w:val="a0"/>
    <w:rsid w:val="00F21C25"/>
  </w:style>
  <w:style w:type="character" w:customStyle="1" w:styleId="st161">
    <w:name w:val="st161"/>
    <w:basedOn w:val="a0"/>
    <w:rsid w:val="00F21C25"/>
  </w:style>
  <w:style w:type="paragraph" w:customStyle="1" w:styleId="st2">
    <w:name w:val="st2"/>
    <w:basedOn w:val="a"/>
    <w:rsid w:val="00F21C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42">
    <w:name w:val="st42"/>
    <w:basedOn w:val="a0"/>
    <w:rsid w:val="00F21C25"/>
  </w:style>
  <w:style w:type="character" w:customStyle="1" w:styleId="st96">
    <w:name w:val="st96"/>
    <w:basedOn w:val="a0"/>
    <w:rsid w:val="00F21C25"/>
  </w:style>
  <w:style w:type="paragraph" w:customStyle="1" w:styleId="st7">
    <w:name w:val="st7"/>
    <w:basedOn w:val="a"/>
    <w:rsid w:val="00F21C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F21C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F21C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F21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2960</Words>
  <Characters>16873</Characters>
  <Application>Microsoft Office Word</Application>
  <DocSecurity>0</DocSecurity>
  <Lines>140</Lines>
  <Paragraphs>39</Paragraphs>
  <ScaleCrop>false</ScaleCrop>
  <Company>Северодонецкие вести</Company>
  <LinksUpToDate>false</LinksUpToDate>
  <CharactersWithSpaces>19794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2016-07-22T06:53:00Z</dcterms:created>
  <dcterms:modified xsi:type="dcterms:W3CDTF">2016-07-22T06:53:00Z</dcterms:modified>
</cp:coreProperties>
</file>