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02" w:rsidRPr="00D13663" w:rsidRDefault="00630802" w:rsidP="00630802">
      <w:pPr>
        <w:jc w:val="center"/>
        <w:rPr>
          <w:b/>
          <w:bCs/>
          <w:i/>
          <w:sz w:val="28"/>
        </w:rPr>
      </w:pPr>
      <w:r>
        <w:rPr>
          <w:lang w:val="uk-UA"/>
        </w:rPr>
        <w:t xml:space="preserve">                         </w:t>
      </w:r>
      <w:r>
        <w:rPr>
          <w:b/>
          <w:bCs/>
          <w:sz w:val="28"/>
        </w:rPr>
        <w:t xml:space="preserve">         </w:t>
      </w:r>
      <w:r w:rsidRPr="00D13663">
        <w:rPr>
          <w:b/>
          <w:bCs/>
          <w:sz w:val="28"/>
        </w:rPr>
        <w:t xml:space="preserve">СЄВЄРОДОНЕЦЬКА МIСЬКА РАДА  </w:t>
      </w:r>
      <w:r>
        <w:rPr>
          <w:b/>
          <w:bCs/>
          <w:sz w:val="28"/>
        </w:rPr>
        <w:t xml:space="preserve">            проект</w:t>
      </w:r>
      <w:r w:rsidRPr="00A60DE8">
        <w:rPr>
          <w:b/>
          <w:bCs/>
          <w:i/>
          <w:sz w:val="28"/>
        </w:rPr>
        <w:t xml:space="preserve"> </w:t>
      </w:r>
      <w:r w:rsidRPr="00D13663">
        <w:rPr>
          <w:b/>
          <w:bCs/>
          <w:sz w:val="28"/>
        </w:rPr>
        <w:t xml:space="preserve">        </w:t>
      </w:r>
      <w:r>
        <w:rPr>
          <w:b/>
          <w:bCs/>
          <w:sz w:val="28"/>
        </w:rPr>
        <w:t xml:space="preserve">  </w:t>
      </w:r>
      <w:r w:rsidRPr="00D13663">
        <w:rPr>
          <w:b/>
          <w:bCs/>
          <w:sz w:val="28"/>
        </w:rPr>
        <w:t xml:space="preserve"> </w:t>
      </w:r>
    </w:p>
    <w:p w:rsidR="00630802" w:rsidRPr="00D13663" w:rsidRDefault="00630802" w:rsidP="006308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Pr="00D13663">
        <w:rPr>
          <w:b/>
          <w:bCs/>
          <w:sz w:val="28"/>
        </w:rPr>
        <w:t xml:space="preserve"> СКЛИКАННЯ</w:t>
      </w:r>
    </w:p>
    <w:p w:rsidR="00630802" w:rsidRDefault="00630802" w:rsidP="00630802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____________________ </w:t>
      </w:r>
      <w:r w:rsidRPr="00D13663">
        <w:rPr>
          <w:b/>
          <w:bCs/>
          <w:sz w:val="28"/>
        </w:rPr>
        <w:t>(</w:t>
      </w:r>
      <w:r>
        <w:rPr>
          <w:b/>
          <w:bCs/>
          <w:sz w:val="28"/>
        </w:rPr>
        <w:t>_____</w:t>
      </w:r>
      <w:r w:rsidRPr="00D13663">
        <w:rPr>
          <w:b/>
          <w:bCs/>
          <w:sz w:val="28"/>
        </w:rPr>
        <w:t xml:space="preserve">) </w:t>
      </w:r>
      <w:r>
        <w:rPr>
          <w:b/>
          <w:bCs/>
          <w:sz w:val="28"/>
        </w:rPr>
        <w:t>сесія</w:t>
      </w:r>
    </w:p>
    <w:p w:rsidR="00630802" w:rsidRPr="002A132F" w:rsidRDefault="00630802" w:rsidP="00630802">
      <w:pPr>
        <w:spacing w:line="480" w:lineRule="auto"/>
        <w:jc w:val="center"/>
        <w:rPr>
          <w:b/>
          <w:bCs/>
          <w:sz w:val="28"/>
        </w:rPr>
      </w:pPr>
      <w:r w:rsidRPr="002A132F">
        <w:rPr>
          <w:b/>
          <w:sz w:val="28"/>
        </w:rPr>
        <w:t xml:space="preserve">РIШЕННЯ  № </w:t>
      </w:r>
    </w:p>
    <w:p w:rsidR="00630802" w:rsidRPr="00D13663" w:rsidRDefault="00630802" w:rsidP="00630802">
      <w:pPr>
        <w:jc w:val="both"/>
        <w:rPr>
          <w:b/>
          <w:bCs/>
        </w:rPr>
      </w:pPr>
      <w:r>
        <w:rPr>
          <w:b/>
          <w:bCs/>
        </w:rPr>
        <w:t xml:space="preserve">«___» ___________ </w:t>
      </w:r>
      <w:r w:rsidRPr="00D13663">
        <w:rPr>
          <w:b/>
          <w:bCs/>
        </w:rPr>
        <w:t>201</w:t>
      </w:r>
      <w:r>
        <w:rPr>
          <w:b/>
          <w:bCs/>
          <w:lang w:val="uk-UA"/>
        </w:rPr>
        <w:t>8</w:t>
      </w:r>
      <w:r w:rsidRPr="00D13663">
        <w:rPr>
          <w:b/>
          <w:bCs/>
        </w:rPr>
        <w:t xml:space="preserve"> року                                                                                         </w:t>
      </w:r>
    </w:p>
    <w:p w:rsidR="00630802" w:rsidRPr="00630802" w:rsidRDefault="00630802" w:rsidP="00630802">
      <w:pPr>
        <w:spacing w:line="360" w:lineRule="auto"/>
        <w:jc w:val="both"/>
        <w:rPr>
          <w:b/>
          <w:bCs/>
        </w:rPr>
      </w:pPr>
      <w:r w:rsidRPr="00D13663">
        <w:rPr>
          <w:b/>
          <w:bCs/>
        </w:rPr>
        <w:t>м.</w:t>
      </w:r>
      <w:r>
        <w:rPr>
          <w:b/>
          <w:bCs/>
        </w:rPr>
        <w:t xml:space="preserve"> </w:t>
      </w:r>
      <w:r w:rsidRPr="00D13663">
        <w:rPr>
          <w:b/>
          <w:bCs/>
        </w:rPr>
        <w:t>Сєвєродонецьк</w:t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630802" w:rsidRPr="00630802" w:rsidRDefault="00C82256" w:rsidP="00630802">
      <w:pPr>
        <w:pStyle w:val="a6"/>
        <w:shd w:val="clear" w:color="auto" w:fill="FFFFFF"/>
        <w:jc w:val="left"/>
        <w:rPr>
          <w:b w:val="0"/>
          <w:sz w:val="24"/>
          <w:szCs w:val="24"/>
          <w:lang w:val="uk-UA"/>
        </w:rPr>
      </w:pPr>
      <w:r w:rsidRPr="00630802">
        <w:rPr>
          <w:b w:val="0"/>
          <w:sz w:val="24"/>
          <w:szCs w:val="24"/>
          <w:lang w:val="uk-UA"/>
        </w:rPr>
        <w:t>Про</w:t>
      </w:r>
      <w:r w:rsidR="00BB723D" w:rsidRPr="00630802">
        <w:rPr>
          <w:b w:val="0"/>
          <w:sz w:val="24"/>
          <w:szCs w:val="24"/>
          <w:lang w:val="uk-UA"/>
        </w:rPr>
        <w:t xml:space="preserve"> </w:t>
      </w:r>
      <w:r w:rsidR="002A10EE" w:rsidRPr="00630802">
        <w:rPr>
          <w:b w:val="0"/>
          <w:sz w:val="24"/>
          <w:szCs w:val="24"/>
          <w:lang w:val="uk-UA"/>
        </w:rPr>
        <w:t>затвердження звіту про</w:t>
      </w:r>
      <w:r w:rsidRPr="00630802">
        <w:rPr>
          <w:b w:val="0"/>
          <w:sz w:val="24"/>
          <w:szCs w:val="24"/>
          <w:lang w:val="uk-UA"/>
        </w:rPr>
        <w:t xml:space="preserve"> </w:t>
      </w:r>
      <w:r w:rsidR="003E0C19" w:rsidRPr="00630802">
        <w:rPr>
          <w:b w:val="0"/>
          <w:sz w:val="24"/>
          <w:szCs w:val="24"/>
          <w:lang w:val="uk-UA"/>
        </w:rPr>
        <w:t>виконання</w:t>
      </w:r>
      <w:r w:rsidR="006707CC" w:rsidRPr="00630802">
        <w:rPr>
          <w:b w:val="0"/>
          <w:sz w:val="24"/>
          <w:szCs w:val="24"/>
          <w:lang w:val="uk-UA"/>
        </w:rPr>
        <w:t xml:space="preserve"> </w:t>
      </w:r>
    </w:p>
    <w:p w:rsidR="00630802" w:rsidRDefault="00630802" w:rsidP="00630802">
      <w:pPr>
        <w:pStyle w:val="a6"/>
        <w:shd w:val="clear" w:color="auto" w:fill="FFFFFF"/>
        <w:jc w:val="left"/>
        <w:rPr>
          <w:b w:val="0"/>
          <w:sz w:val="24"/>
          <w:szCs w:val="24"/>
          <w:lang w:val="uk-UA"/>
        </w:rPr>
      </w:pPr>
      <w:r w:rsidRPr="000B278A">
        <w:rPr>
          <w:b w:val="0"/>
          <w:sz w:val="24"/>
          <w:szCs w:val="24"/>
          <w:lang w:val="uk-UA"/>
        </w:rPr>
        <w:t xml:space="preserve">Програми підтримки ПрАТ «Сєвєродонецька </w:t>
      </w:r>
    </w:p>
    <w:p w:rsidR="00630802" w:rsidRPr="000B278A" w:rsidRDefault="00630802" w:rsidP="00630802">
      <w:pPr>
        <w:pStyle w:val="a6"/>
        <w:shd w:val="clear" w:color="auto" w:fill="FFFFFF"/>
        <w:jc w:val="left"/>
        <w:rPr>
          <w:b w:val="0"/>
          <w:sz w:val="24"/>
          <w:szCs w:val="24"/>
          <w:lang w:val="uk-UA"/>
        </w:rPr>
      </w:pPr>
      <w:r w:rsidRPr="000B278A">
        <w:rPr>
          <w:b w:val="0"/>
          <w:sz w:val="24"/>
          <w:szCs w:val="24"/>
          <w:lang w:val="uk-UA"/>
        </w:rPr>
        <w:t>міська друкарня» на 2017 рік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022598" w:rsidRPr="00022598" w:rsidRDefault="00022598" w:rsidP="00022598">
      <w:pPr>
        <w:pStyle w:val="ac"/>
        <w:ind w:firstLine="708"/>
        <w:jc w:val="both"/>
        <w:rPr>
          <w:lang w:val="uk-UA"/>
        </w:rPr>
      </w:pPr>
      <w:r w:rsidRPr="00022598">
        <w:rPr>
          <w:lang w:val="uk-UA"/>
        </w:rPr>
        <w:t xml:space="preserve">Керуючись ст.ст. 26, 59 Закону України «Про місцеве самоврядування в Україні», </w:t>
      </w:r>
      <w:r w:rsidR="005A40A5" w:rsidRPr="005A40A5">
        <w:rPr>
          <w:rFonts w:eastAsia="Calibri"/>
          <w:lang w:val="uk-UA"/>
        </w:rPr>
        <w:t>Законом України «Про Державні цільові програми»,</w:t>
      </w:r>
      <w:r w:rsidR="005A40A5">
        <w:rPr>
          <w:rFonts w:eastAsia="Calibri"/>
          <w:lang w:val="uk-UA"/>
        </w:rPr>
        <w:t xml:space="preserve"> </w:t>
      </w:r>
      <w:r w:rsidR="005A40A5" w:rsidRPr="005A40A5">
        <w:rPr>
          <w:rFonts w:eastAsia="Calibri"/>
          <w:lang w:val="uk-UA"/>
        </w:rPr>
        <w:t xml:space="preserve">Постановою КМУ від 31.01.2007 року №106 «Про </w:t>
      </w:r>
      <w:r w:rsidR="005A40A5" w:rsidRPr="005A40A5">
        <w:rPr>
          <w:rFonts w:eastAsia="Calibri"/>
          <w:color w:val="000000"/>
          <w:lang w:val="uk-UA"/>
        </w:rPr>
        <w:t>затвердження Порядку розроблення та виконання державних цільових програм</w:t>
      </w:r>
      <w:r w:rsidR="005A40A5" w:rsidRPr="005A40A5">
        <w:rPr>
          <w:rFonts w:eastAsia="Calibri"/>
          <w:color w:val="000000"/>
          <w:sz w:val="20"/>
          <w:szCs w:val="20"/>
          <w:lang w:val="uk-UA"/>
        </w:rPr>
        <w:t>»,</w:t>
      </w:r>
      <w:r w:rsidR="005A40A5" w:rsidRPr="005A40A5">
        <w:rPr>
          <w:rFonts w:eastAsia="Calibri"/>
          <w:lang w:val="uk-UA"/>
        </w:rPr>
        <w:t xml:space="preserve"> </w:t>
      </w:r>
      <w:r w:rsidR="005A40A5">
        <w:rPr>
          <w:rFonts w:eastAsia="Calibri"/>
          <w:lang w:val="uk-UA"/>
        </w:rPr>
        <w:t>враховуючи</w:t>
      </w:r>
      <w:r w:rsidR="002439C4">
        <w:rPr>
          <w:lang w:val="uk-UA"/>
        </w:rPr>
        <w:t xml:space="preserve">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</w:t>
      </w:r>
      <w:r w:rsidR="005A40A5">
        <w:rPr>
          <w:lang w:val="uk-UA"/>
        </w:rPr>
        <w:t xml:space="preserve"> та </w:t>
      </w:r>
      <w:r w:rsidR="002439C4">
        <w:rPr>
          <w:lang w:val="uk-UA"/>
        </w:rPr>
        <w:t xml:space="preserve">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Pr="00022598">
        <w:rPr>
          <w:lang w:val="uk-UA"/>
        </w:rPr>
        <w:t xml:space="preserve">Сєвєродонецька міська рада 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022598" w:rsidRPr="00707657" w:rsidRDefault="002A10EE" w:rsidP="00707657">
      <w:pPr>
        <w:numPr>
          <w:ilvl w:val="0"/>
          <w:numId w:val="1"/>
        </w:numPr>
        <w:tabs>
          <w:tab w:val="num" w:pos="709"/>
          <w:tab w:val="left" w:pos="1418"/>
        </w:tabs>
        <w:ind w:left="0" w:firstLine="426"/>
        <w:jc w:val="both"/>
        <w:rPr>
          <w:b/>
          <w:lang w:val="uk-UA"/>
        </w:rPr>
      </w:pPr>
      <w:r>
        <w:rPr>
          <w:lang w:val="uk-UA"/>
        </w:rPr>
        <w:t>Затвердити звіт</w:t>
      </w:r>
      <w:r w:rsidR="00707657">
        <w:rPr>
          <w:lang w:val="uk-UA"/>
        </w:rPr>
        <w:t xml:space="preserve"> про виконання</w:t>
      </w:r>
      <w:r w:rsidR="00022598" w:rsidRPr="00022598">
        <w:rPr>
          <w:lang w:val="uk-UA"/>
        </w:rPr>
        <w:t xml:space="preserve"> </w:t>
      </w:r>
      <w:r w:rsidR="00CF6652">
        <w:rPr>
          <w:iCs/>
          <w:lang w:val="uk-UA"/>
        </w:rPr>
        <w:t xml:space="preserve">Програми </w:t>
      </w:r>
      <w:r w:rsidR="00CF6652" w:rsidRPr="007313EC">
        <w:rPr>
          <w:lang w:val="uk-UA"/>
        </w:rPr>
        <w:t>підтримки ПрАТ «Сєвєродонецька міська друкарня» на 2017 рік</w:t>
      </w:r>
      <w:r w:rsidR="00CF6652" w:rsidRPr="00022598">
        <w:rPr>
          <w:lang w:val="uk-UA"/>
        </w:rPr>
        <w:t xml:space="preserve"> </w:t>
      </w:r>
      <w:r w:rsidR="00022598" w:rsidRPr="00022598">
        <w:rPr>
          <w:lang w:val="uk-UA"/>
        </w:rPr>
        <w:t>(додається).</w:t>
      </w:r>
    </w:p>
    <w:p w:rsidR="00DE6046" w:rsidRPr="005811AE" w:rsidRDefault="00DE6046" w:rsidP="00707657">
      <w:pPr>
        <w:numPr>
          <w:ilvl w:val="0"/>
          <w:numId w:val="1"/>
        </w:numPr>
        <w:tabs>
          <w:tab w:val="left" w:pos="1418"/>
        </w:tabs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</w:p>
    <w:p w:rsidR="00C94F02" w:rsidRPr="00D70E38" w:rsidRDefault="00707657" w:rsidP="004347B6">
      <w:pPr>
        <w:pStyle w:val="21"/>
        <w:numPr>
          <w:ilvl w:val="0"/>
          <w:numId w:val="1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bCs/>
          <w:lang w:val="uk-UA"/>
        </w:rPr>
      </w:pPr>
      <w:r>
        <w:rPr>
          <w:lang w:val="uk-UA"/>
        </w:rPr>
        <w:t xml:space="preserve"> </w:t>
      </w:r>
      <w:r w:rsidR="00C94F02" w:rsidRPr="005811AE">
        <w:rPr>
          <w:lang w:val="uk-UA"/>
        </w:rPr>
        <w:t>Контроль за виконанням  цього рішення  покласти на постійн</w:t>
      </w:r>
      <w:r w:rsidR="000950FE">
        <w:rPr>
          <w:lang w:val="uk-UA"/>
        </w:rPr>
        <w:t>і</w:t>
      </w:r>
      <w:r w:rsidR="00C94F02" w:rsidRPr="005811AE">
        <w:rPr>
          <w:lang w:val="uk-UA"/>
        </w:rPr>
        <w:t xml:space="preserve"> комісі</w:t>
      </w:r>
      <w:r w:rsidR="000950FE">
        <w:rPr>
          <w:lang w:val="uk-UA"/>
        </w:rPr>
        <w:t>ї</w:t>
      </w:r>
      <w:r w:rsidR="00C94F02" w:rsidRPr="005811AE">
        <w:rPr>
          <w:lang w:val="uk-UA"/>
        </w:rPr>
        <w:t xml:space="preserve"> по управлінню житлово-комунальним  господарством, власністю, комунальною власністю, побутовим та торгівельним обслуговуванням</w:t>
      </w:r>
      <w:r w:rsidR="000950FE">
        <w:rPr>
          <w:lang w:val="uk-UA"/>
        </w:rPr>
        <w:t xml:space="preserve"> та </w:t>
      </w:r>
      <w:r w:rsidR="00AC75C8" w:rsidRPr="00B86F04">
        <w:rPr>
          <w:lang w:val="uk-UA"/>
        </w:rPr>
        <w:t>з питань планування бюджету та фінансів</w:t>
      </w:r>
      <w:r w:rsidR="00C94F02" w:rsidRPr="005811AE">
        <w:rPr>
          <w:lang w:val="uk-UA"/>
        </w:rPr>
        <w:t xml:space="preserve">. </w:t>
      </w:r>
    </w:p>
    <w:p w:rsidR="00D70E38" w:rsidRPr="00B00256" w:rsidRDefault="00D70E38" w:rsidP="00D70E38">
      <w:pPr>
        <w:pStyle w:val="21"/>
        <w:shd w:val="clear" w:color="auto" w:fill="FFFFFF"/>
        <w:spacing w:after="0" w:line="240" w:lineRule="auto"/>
        <w:ind w:left="426"/>
        <w:jc w:val="both"/>
        <w:rPr>
          <w:bCs/>
          <w:lang w:val="uk-UA"/>
        </w:rPr>
      </w:pPr>
    </w:p>
    <w:p w:rsidR="00D70E38" w:rsidRDefault="00D70E38" w:rsidP="00D70E38">
      <w:pPr>
        <w:pStyle w:val="21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D614E1">
        <w:rPr>
          <w:b/>
          <w:lang w:val="uk-UA"/>
        </w:rPr>
        <w:t>В.В. Казаков</w:t>
      </w:r>
    </w:p>
    <w:p w:rsidR="00D70E38" w:rsidRDefault="00D70E38" w:rsidP="00D70E38">
      <w:pPr>
        <w:jc w:val="both"/>
        <w:rPr>
          <w:b/>
          <w:lang w:val="uk-UA"/>
        </w:rPr>
      </w:pPr>
      <w:r>
        <w:rPr>
          <w:b/>
        </w:rPr>
        <w:t>Підготував:</w:t>
      </w:r>
    </w:p>
    <w:p w:rsidR="004A6839" w:rsidRPr="004A6839" w:rsidRDefault="004A6839" w:rsidP="00D70E38">
      <w:pPr>
        <w:jc w:val="both"/>
        <w:rPr>
          <w:b/>
          <w:lang w:val="uk-UA"/>
        </w:rPr>
      </w:pPr>
    </w:p>
    <w:p w:rsidR="00D70E38" w:rsidRDefault="00CF6652" w:rsidP="00D70E38">
      <w:pPr>
        <w:jc w:val="both"/>
      </w:pPr>
      <w:r>
        <w:rPr>
          <w:lang w:val="uk-UA"/>
        </w:rPr>
        <w:t>Н</w:t>
      </w:r>
      <w:r w:rsidR="00D70E38">
        <w:t>ачальник Фонду комунального майна</w:t>
      </w:r>
    </w:p>
    <w:p w:rsidR="00D70E38" w:rsidRDefault="00D70E38" w:rsidP="00D70E38">
      <w:pPr>
        <w:ind w:right="-511"/>
        <w:jc w:val="both"/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                       О.В. Ольшанський</w:t>
      </w:r>
    </w:p>
    <w:p w:rsidR="00D70E38" w:rsidRDefault="00D70E38" w:rsidP="00D70E38">
      <w:pPr>
        <w:ind w:right="-511"/>
        <w:jc w:val="both"/>
      </w:pPr>
    </w:p>
    <w:p w:rsidR="00D70E38" w:rsidRDefault="00D70E38" w:rsidP="00D70E38">
      <w:pPr>
        <w:jc w:val="both"/>
        <w:rPr>
          <w:b/>
          <w:lang w:val="uk-UA"/>
        </w:rPr>
      </w:pPr>
      <w:r w:rsidRPr="001C7E13">
        <w:rPr>
          <w:b/>
        </w:rPr>
        <w:t>Узгоджено:</w:t>
      </w:r>
    </w:p>
    <w:p w:rsidR="00D70E38" w:rsidRPr="00707B39" w:rsidRDefault="00D70E38" w:rsidP="00D70E38">
      <w:pPr>
        <w:jc w:val="both"/>
        <w:rPr>
          <w:b/>
          <w:lang w:val="uk-UA"/>
        </w:rPr>
      </w:pPr>
    </w:p>
    <w:p w:rsidR="00D70E38" w:rsidRDefault="00D70E38" w:rsidP="00D70E38">
      <w:pPr>
        <w:rPr>
          <w:lang w:val="uk-UA"/>
        </w:rPr>
      </w:pPr>
      <w:r>
        <w:t xml:space="preserve">Секретар </w:t>
      </w:r>
      <w:r>
        <w:rPr>
          <w:lang w:val="uk-UA"/>
        </w:rPr>
        <w:t xml:space="preserve"> ради                                                                                             </w:t>
      </w:r>
      <w:r w:rsidR="00362067">
        <w:rPr>
          <w:lang w:val="uk-UA"/>
        </w:rPr>
        <w:t>Е.Ю. Марініч</w:t>
      </w:r>
    </w:p>
    <w:p w:rsidR="00A60BBB" w:rsidRPr="00C45444" w:rsidRDefault="00A60BBB" w:rsidP="00D70E38">
      <w:pPr>
        <w:rPr>
          <w:lang w:val="uk-UA"/>
        </w:rPr>
      </w:pPr>
    </w:p>
    <w:p w:rsidR="00D70E38" w:rsidRDefault="00D70E38" w:rsidP="00D70E38">
      <w:pPr>
        <w:jc w:val="both"/>
        <w:rPr>
          <w:b/>
        </w:rPr>
      </w:pPr>
    </w:p>
    <w:p w:rsidR="00D70E38" w:rsidRPr="001C7E13" w:rsidRDefault="00D70E38" w:rsidP="00D70E38">
      <w:pPr>
        <w:jc w:val="both"/>
        <w:rPr>
          <w:bCs/>
        </w:rPr>
      </w:pPr>
      <w:r w:rsidRPr="001C7E13">
        <w:rPr>
          <w:bCs/>
        </w:rPr>
        <w:t xml:space="preserve">Голова постійної комісії по управлінню </w:t>
      </w:r>
    </w:p>
    <w:p w:rsidR="00D70E38" w:rsidRPr="001C7E13" w:rsidRDefault="00D70E38" w:rsidP="00D70E38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D70E38" w:rsidRPr="001C7E13" w:rsidRDefault="00D70E38" w:rsidP="00D70E38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D70E38" w:rsidRPr="001C7E13" w:rsidRDefault="00D70E38" w:rsidP="00D70E38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>А.Ю. Височин</w:t>
      </w:r>
    </w:p>
    <w:p w:rsidR="00D70E38" w:rsidRDefault="00D70E38" w:rsidP="00D70E38">
      <w:pPr>
        <w:jc w:val="both"/>
        <w:rPr>
          <w:b/>
          <w:color w:val="000000" w:themeColor="text1"/>
        </w:rPr>
      </w:pPr>
    </w:p>
    <w:p w:rsidR="00D70E38" w:rsidRDefault="00E43B49" w:rsidP="00D70E3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Н</w:t>
      </w:r>
      <w:r w:rsidR="00D70E38">
        <w:t xml:space="preserve">ачальник відділу з </w:t>
      </w:r>
      <w:r w:rsidR="00D70E38" w:rsidRPr="007A6788">
        <w:t>юридичних</w:t>
      </w:r>
    </w:p>
    <w:p w:rsidR="00D70E38" w:rsidRPr="00167807" w:rsidRDefault="00D70E38" w:rsidP="00D70E38">
      <w:pPr>
        <w:shd w:val="clear" w:color="auto" w:fill="FFFFFF"/>
        <w:jc w:val="both"/>
        <w:rPr>
          <w:lang w:val="uk-UA"/>
        </w:rPr>
      </w:pPr>
      <w:r>
        <w:t xml:space="preserve">та правових </w:t>
      </w:r>
      <w:r w:rsidRPr="007A6788">
        <w:t>питань</w:t>
      </w:r>
      <w:r>
        <w:t xml:space="preserve">                              </w:t>
      </w:r>
      <w:r>
        <w:rPr>
          <w:lang w:val="uk-UA"/>
        </w:rPr>
        <w:t xml:space="preserve">                                                        </w:t>
      </w:r>
      <w:r w:rsidR="00E43B49">
        <w:rPr>
          <w:lang w:val="uk-UA"/>
        </w:rPr>
        <w:t>В.В.Рудь</w:t>
      </w:r>
    </w:p>
    <w:p w:rsidR="00D70E38" w:rsidRDefault="00D70E38" w:rsidP="00D70E38">
      <w:pPr>
        <w:shd w:val="clear" w:color="auto" w:fill="FFFFFF"/>
        <w:jc w:val="both"/>
      </w:pPr>
    </w:p>
    <w:p w:rsidR="00D70E38" w:rsidRPr="00E74DF3" w:rsidRDefault="00D70E38" w:rsidP="00D70E38">
      <w:pPr>
        <w:pStyle w:val="21"/>
        <w:spacing w:after="0" w:line="240" w:lineRule="auto"/>
        <w:ind w:left="0"/>
        <w:rPr>
          <w:b/>
        </w:rPr>
      </w:pPr>
    </w:p>
    <w:p w:rsidR="00CF6652" w:rsidRPr="00E43B49" w:rsidRDefault="00CF6652" w:rsidP="005811AE">
      <w:pPr>
        <w:pStyle w:val="a5"/>
        <w:spacing w:line="240" w:lineRule="auto"/>
        <w:ind w:left="6840" w:firstLine="0"/>
        <w:rPr>
          <w:lang w:val="ru-RU"/>
        </w:rPr>
      </w:pPr>
    </w:p>
    <w:p w:rsidR="00CF6652" w:rsidRDefault="00CF6652" w:rsidP="005811AE">
      <w:pPr>
        <w:pStyle w:val="a5"/>
        <w:spacing w:line="240" w:lineRule="auto"/>
        <w:ind w:left="6840" w:firstLine="0"/>
      </w:pPr>
    </w:p>
    <w:p w:rsidR="00CF6652" w:rsidRPr="008925A7" w:rsidRDefault="00CF6652" w:rsidP="00CF6652">
      <w:pPr>
        <w:shd w:val="clear" w:color="auto" w:fill="FFFFFF"/>
        <w:jc w:val="both"/>
        <w:rPr>
          <w:lang w:val="uk-UA"/>
        </w:rPr>
      </w:pPr>
      <w:r>
        <w:rPr>
          <w:color w:val="FFFFFF"/>
          <w:spacing w:val="-4"/>
          <w:lang w:val="uk-UA"/>
        </w:rPr>
        <w:lastRenderedPageBreak/>
        <w:t xml:space="preserve">     </w:t>
      </w:r>
      <w:r>
        <w:rPr>
          <w:color w:val="FFFFFF"/>
          <w:spacing w:val="-4"/>
          <w:lang w:val="uk-UA"/>
        </w:rPr>
        <w:tab/>
      </w:r>
      <w:r>
        <w:rPr>
          <w:color w:val="FFFFFF"/>
          <w:spacing w:val="-4"/>
          <w:lang w:val="uk-UA"/>
        </w:rPr>
        <w:tab/>
      </w:r>
      <w:r>
        <w:rPr>
          <w:color w:val="FFFFFF"/>
          <w:spacing w:val="-4"/>
          <w:lang w:val="uk-UA"/>
        </w:rPr>
        <w:tab/>
      </w:r>
      <w:r>
        <w:rPr>
          <w:color w:val="FFFFFF"/>
          <w:spacing w:val="-4"/>
          <w:lang w:val="uk-UA"/>
        </w:rPr>
        <w:tab/>
      </w:r>
      <w:r>
        <w:rPr>
          <w:color w:val="FFFFFF"/>
          <w:spacing w:val="-4"/>
          <w:lang w:val="uk-UA"/>
        </w:rPr>
        <w:tab/>
      </w:r>
      <w:r>
        <w:rPr>
          <w:color w:val="FFFFFF"/>
          <w:spacing w:val="-4"/>
          <w:lang w:val="uk-UA"/>
        </w:rPr>
        <w:tab/>
      </w:r>
      <w:r>
        <w:rPr>
          <w:color w:val="FFFFFF"/>
          <w:spacing w:val="-4"/>
          <w:lang w:val="uk-UA"/>
        </w:rPr>
        <w:tab/>
        <w:t xml:space="preserve">       </w:t>
      </w:r>
      <w:r w:rsidRPr="008925A7">
        <w:rPr>
          <w:lang w:val="uk-UA"/>
        </w:rPr>
        <w:t xml:space="preserve">Додаток </w:t>
      </w:r>
    </w:p>
    <w:p w:rsidR="00CF6652" w:rsidRDefault="00CF6652" w:rsidP="00CF6652">
      <w:pPr>
        <w:pStyle w:val="a5"/>
        <w:spacing w:line="240" w:lineRule="auto"/>
        <w:ind w:left="5387" w:firstLine="0"/>
      </w:pPr>
      <w:r w:rsidRPr="005811AE">
        <w:t xml:space="preserve">до рішення </w:t>
      </w:r>
      <w:r>
        <w:t xml:space="preserve">______ сесії </w:t>
      </w:r>
    </w:p>
    <w:p w:rsidR="00CF6652" w:rsidRPr="005811AE" w:rsidRDefault="00CF6652" w:rsidP="00CF6652">
      <w:pPr>
        <w:pStyle w:val="a5"/>
        <w:spacing w:line="240" w:lineRule="auto"/>
        <w:ind w:left="5387" w:firstLine="0"/>
      </w:pPr>
      <w:r>
        <w:t xml:space="preserve">Сєвєродонецької </w:t>
      </w:r>
      <w:r w:rsidRPr="005811AE">
        <w:t xml:space="preserve">міської ради </w:t>
      </w:r>
    </w:p>
    <w:p w:rsidR="00CF6652" w:rsidRDefault="00CF6652" w:rsidP="00CF6652">
      <w:pPr>
        <w:pStyle w:val="a5"/>
        <w:spacing w:line="240" w:lineRule="auto"/>
        <w:ind w:left="5387" w:firstLine="0"/>
      </w:pPr>
      <w:r w:rsidRPr="005811AE">
        <w:t xml:space="preserve">від  </w:t>
      </w:r>
      <w:r>
        <w:t>«     »  _________</w:t>
      </w:r>
      <w:r w:rsidRPr="005811AE">
        <w:t>201</w:t>
      </w:r>
      <w:r>
        <w:t>8</w:t>
      </w:r>
      <w:r w:rsidRPr="005811AE">
        <w:t xml:space="preserve"> р</w:t>
      </w:r>
      <w:r>
        <w:t>оку</w:t>
      </w:r>
      <w:r w:rsidRPr="005811AE">
        <w:t xml:space="preserve"> №</w:t>
      </w:r>
      <w:r>
        <w:t>______</w:t>
      </w:r>
    </w:p>
    <w:p w:rsidR="002F37C8" w:rsidRDefault="002F37C8" w:rsidP="005811AE">
      <w:pPr>
        <w:pStyle w:val="a5"/>
        <w:spacing w:line="240" w:lineRule="auto"/>
        <w:ind w:left="6840" w:firstLine="0"/>
      </w:pPr>
    </w:p>
    <w:p w:rsidR="00CF6652" w:rsidRPr="008D3EA3" w:rsidRDefault="002A10EE" w:rsidP="00CF6652">
      <w:pPr>
        <w:pStyle w:val="a6"/>
        <w:shd w:val="clear" w:color="auto" w:fill="FFFFFF"/>
        <w:rPr>
          <w:sz w:val="24"/>
          <w:szCs w:val="24"/>
          <w:lang w:val="uk-UA"/>
        </w:rPr>
      </w:pPr>
      <w:r w:rsidRPr="008D3EA3">
        <w:rPr>
          <w:iCs/>
          <w:sz w:val="24"/>
          <w:lang w:val="uk-UA"/>
        </w:rPr>
        <w:t>Звіт</w:t>
      </w:r>
      <w:r w:rsidR="00862DB9" w:rsidRPr="008D3EA3">
        <w:rPr>
          <w:iCs/>
          <w:sz w:val="24"/>
          <w:lang w:val="uk-UA"/>
        </w:rPr>
        <w:t xml:space="preserve"> про виконання </w:t>
      </w:r>
      <w:r w:rsidR="006707CC" w:rsidRPr="008D3EA3">
        <w:rPr>
          <w:iCs/>
          <w:sz w:val="24"/>
          <w:lang w:val="uk-UA"/>
        </w:rPr>
        <w:t>П</w:t>
      </w:r>
      <w:r w:rsidR="00B00256" w:rsidRPr="008D3EA3">
        <w:rPr>
          <w:iCs/>
          <w:sz w:val="24"/>
        </w:rPr>
        <w:t>рограм</w:t>
      </w:r>
      <w:r w:rsidR="00862DB9" w:rsidRPr="008D3EA3">
        <w:rPr>
          <w:iCs/>
          <w:sz w:val="24"/>
          <w:lang w:val="uk-UA"/>
        </w:rPr>
        <w:t>и</w:t>
      </w:r>
      <w:r w:rsidR="006707CC" w:rsidRPr="008D3EA3">
        <w:rPr>
          <w:iCs/>
          <w:sz w:val="24"/>
          <w:lang w:val="uk-UA"/>
        </w:rPr>
        <w:t xml:space="preserve"> </w:t>
      </w:r>
      <w:r w:rsidR="00CF6652" w:rsidRPr="008D3EA3">
        <w:rPr>
          <w:sz w:val="24"/>
          <w:szCs w:val="24"/>
          <w:lang w:val="uk-UA"/>
        </w:rPr>
        <w:t xml:space="preserve">підтримки ПрАТ «Сєвєродонецька міська друкарня» </w:t>
      </w:r>
    </w:p>
    <w:p w:rsidR="00CF6652" w:rsidRPr="008D3EA3" w:rsidRDefault="00CF6652" w:rsidP="00CF6652">
      <w:pPr>
        <w:pStyle w:val="a6"/>
        <w:shd w:val="clear" w:color="auto" w:fill="FFFFFF"/>
        <w:rPr>
          <w:sz w:val="24"/>
          <w:szCs w:val="24"/>
          <w:lang w:val="uk-UA"/>
        </w:rPr>
      </w:pPr>
      <w:r w:rsidRPr="008D3EA3">
        <w:rPr>
          <w:sz w:val="24"/>
          <w:szCs w:val="24"/>
          <w:lang w:val="uk-UA"/>
        </w:rPr>
        <w:t>на 2017 рік</w:t>
      </w:r>
    </w:p>
    <w:p w:rsidR="00B00256" w:rsidRPr="008D3EA3" w:rsidRDefault="00B00256" w:rsidP="00CF6652">
      <w:pPr>
        <w:pStyle w:val="a6"/>
        <w:rPr>
          <w:iCs/>
          <w:sz w:val="24"/>
          <w:lang w:val="uk-UA"/>
        </w:rPr>
      </w:pPr>
    </w:p>
    <w:p w:rsidR="00804EA3" w:rsidRDefault="00FB0ABD" w:rsidP="0069326E">
      <w:pPr>
        <w:pStyle w:val="a6"/>
        <w:shd w:val="clear" w:color="auto" w:fill="FFFFFF"/>
        <w:ind w:firstLine="709"/>
        <w:jc w:val="both"/>
        <w:rPr>
          <w:rFonts w:eastAsiaTheme="minorHAnsi"/>
          <w:b w:val="0"/>
          <w:sz w:val="24"/>
          <w:szCs w:val="24"/>
          <w:lang w:val="uk-UA" w:eastAsia="en-US"/>
        </w:rPr>
      </w:pPr>
      <w:r w:rsidRPr="008D3EA3">
        <w:rPr>
          <w:rFonts w:eastAsiaTheme="minorHAnsi"/>
          <w:b w:val="0"/>
          <w:sz w:val="24"/>
          <w:szCs w:val="24"/>
          <w:lang w:val="uk-UA" w:eastAsia="en-US"/>
        </w:rPr>
        <w:t>Рішенням С</w:t>
      </w:r>
      <w:r w:rsidR="004C6A87">
        <w:rPr>
          <w:rFonts w:eastAsiaTheme="minorHAnsi"/>
          <w:b w:val="0"/>
          <w:sz w:val="24"/>
          <w:szCs w:val="24"/>
          <w:lang w:val="uk-UA" w:eastAsia="en-US"/>
        </w:rPr>
        <w:t>євєродонецької міської ради від</w:t>
      </w:r>
      <w:r w:rsidRPr="008D3EA3">
        <w:rPr>
          <w:rFonts w:eastAsiaTheme="minorHAnsi"/>
          <w:b w:val="0"/>
          <w:sz w:val="24"/>
          <w:szCs w:val="24"/>
          <w:lang w:val="uk-UA" w:eastAsia="en-US"/>
        </w:rPr>
        <w:t xml:space="preserve"> 26 січня 2017 року № 1</w:t>
      </w:r>
      <w:r w:rsidR="008D3EA3" w:rsidRPr="008D3EA3">
        <w:rPr>
          <w:rFonts w:eastAsiaTheme="minorHAnsi"/>
          <w:b w:val="0"/>
          <w:sz w:val="24"/>
          <w:szCs w:val="24"/>
          <w:lang w:val="uk-UA" w:eastAsia="en-US"/>
        </w:rPr>
        <w:t>108</w:t>
      </w:r>
      <w:r w:rsidRPr="008D3EA3">
        <w:rPr>
          <w:rFonts w:eastAsiaTheme="minorHAnsi"/>
          <w:b w:val="0"/>
          <w:sz w:val="24"/>
          <w:szCs w:val="24"/>
          <w:lang w:val="uk-UA" w:eastAsia="en-US"/>
        </w:rPr>
        <w:t xml:space="preserve"> була затверджена Програма </w:t>
      </w:r>
      <w:r w:rsidR="008D3EA3" w:rsidRPr="008D3EA3">
        <w:rPr>
          <w:b w:val="0"/>
          <w:sz w:val="24"/>
          <w:szCs w:val="24"/>
          <w:lang w:val="uk-UA"/>
        </w:rPr>
        <w:t>підтримки ПрАТ «Сєвєродонецька міська друкарня» на 2017 рік</w:t>
      </w:r>
      <w:r w:rsidRPr="008D3EA3">
        <w:rPr>
          <w:rFonts w:eastAsiaTheme="minorHAnsi"/>
          <w:b w:val="0"/>
          <w:sz w:val="24"/>
          <w:szCs w:val="24"/>
          <w:lang w:val="uk-UA" w:eastAsia="en-US"/>
        </w:rPr>
        <w:t>, яка</w:t>
      </w:r>
      <w:r w:rsidRPr="008D3EA3">
        <w:rPr>
          <w:b w:val="0"/>
          <w:iCs/>
          <w:sz w:val="24"/>
          <w:szCs w:val="24"/>
          <w:lang w:val="uk-UA"/>
        </w:rPr>
        <w:t xml:space="preserve"> </w:t>
      </w:r>
      <w:r w:rsidRPr="008D3EA3">
        <w:rPr>
          <w:rFonts w:eastAsiaTheme="minorHAnsi"/>
          <w:b w:val="0"/>
          <w:iCs/>
          <w:sz w:val="24"/>
          <w:szCs w:val="24"/>
          <w:lang w:val="uk-UA" w:eastAsia="en-US"/>
        </w:rPr>
        <w:t xml:space="preserve">була спрямована на </w:t>
      </w:r>
      <w:r w:rsidR="008D3EA3">
        <w:rPr>
          <w:rFonts w:eastAsiaTheme="minorHAnsi"/>
          <w:b w:val="0"/>
          <w:iCs/>
          <w:sz w:val="24"/>
          <w:szCs w:val="24"/>
          <w:lang w:val="uk-UA" w:eastAsia="en-US"/>
        </w:rPr>
        <w:t xml:space="preserve">забезпечення </w:t>
      </w:r>
      <w:r w:rsidR="008D3EA3" w:rsidRPr="008D3EA3">
        <w:rPr>
          <w:b w:val="0"/>
          <w:sz w:val="24"/>
          <w:szCs w:val="24"/>
          <w:lang w:val="uk-UA"/>
        </w:rPr>
        <w:t>беззбиткової та безперебійної діяльності</w:t>
      </w:r>
      <w:r w:rsidR="008D3EA3">
        <w:rPr>
          <w:b w:val="0"/>
          <w:sz w:val="24"/>
          <w:szCs w:val="24"/>
          <w:lang w:val="uk-UA"/>
        </w:rPr>
        <w:t xml:space="preserve"> підприємства</w:t>
      </w:r>
      <w:r w:rsidR="008D3EA3" w:rsidRPr="008D3EA3">
        <w:rPr>
          <w:b w:val="0"/>
          <w:sz w:val="24"/>
          <w:szCs w:val="24"/>
          <w:lang w:val="uk-UA"/>
        </w:rPr>
        <w:t xml:space="preserve">, оновлення </w:t>
      </w:r>
      <w:r w:rsidR="008D3EA3">
        <w:rPr>
          <w:b w:val="0"/>
          <w:sz w:val="24"/>
          <w:szCs w:val="24"/>
          <w:lang w:val="uk-UA"/>
        </w:rPr>
        <w:t xml:space="preserve">його </w:t>
      </w:r>
      <w:r w:rsidR="008D3EA3" w:rsidRPr="008D3EA3">
        <w:rPr>
          <w:b w:val="0"/>
          <w:sz w:val="24"/>
          <w:szCs w:val="24"/>
          <w:lang w:val="uk-UA"/>
        </w:rPr>
        <w:t>матеріально-технічної бази та забезпечення своєчасної  оплати обов'язкових платежів, в т.ч. виплат по оплаті праці</w:t>
      </w:r>
      <w:r w:rsidRPr="008D3EA3">
        <w:rPr>
          <w:rFonts w:eastAsiaTheme="minorHAnsi"/>
          <w:b w:val="0"/>
          <w:sz w:val="24"/>
          <w:szCs w:val="24"/>
          <w:lang w:val="uk-UA" w:eastAsia="en-US"/>
        </w:rPr>
        <w:t>.</w:t>
      </w:r>
    </w:p>
    <w:p w:rsidR="00A62F39" w:rsidRDefault="00D97F7B" w:rsidP="0069326E">
      <w:pPr>
        <w:pStyle w:val="a6"/>
        <w:shd w:val="clear" w:color="auto" w:fill="FFFFFF"/>
        <w:ind w:firstLine="709"/>
        <w:jc w:val="both"/>
        <w:rPr>
          <w:b w:val="0"/>
          <w:sz w:val="24"/>
          <w:szCs w:val="24"/>
          <w:lang w:val="uk-UA"/>
        </w:rPr>
      </w:pPr>
      <w:r>
        <w:rPr>
          <w:rFonts w:eastAsiaTheme="minorHAnsi"/>
          <w:b w:val="0"/>
          <w:sz w:val="24"/>
          <w:szCs w:val="24"/>
          <w:lang w:val="uk-UA" w:eastAsia="en-US"/>
        </w:rPr>
        <w:t xml:space="preserve">Програма </w:t>
      </w:r>
      <w:r w:rsidRPr="008D3EA3">
        <w:rPr>
          <w:b w:val="0"/>
          <w:sz w:val="24"/>
          <w:szCs w:val="24"/>
          <w:lang w:val="uk-UA"/>
        </w:rPr>
        <w:t>підтримки ПрАТ «Сєвєродонецька міська друкарня» на 2017 рік</w:t>
      </w:r>
      <w:r>
        <w:rPr>
          <w:rFonts w:eastAsiaTheme="minorHAnsi"/>
          <w:b w:val="0"/>
          <w:sz w:val="24"/>
          <w:szCs w:val="24"/>
          <w:lang w:val="uk-UA" w:eastAsia="en-US"/>
        </w:rPr>
        <w:t xml:space="preserve"> </w:t>
      </w:r>
      <w:r w:rsidR="00CD4AD8">
        <w:rPr>
          <w:rFonts w:eastAsiaTheme="minorHAnsi"/>
          <w:b w:val="0"/>
          <w:sz w:val="24"/>
          <w:szCs w:val="24"/>
          <w:lang w:val="uk-UA" w:eastAsia="en-US"/>
        </w:rPr>
        <w:t xml:space="preserve">                       </w:t>
      </w:r>
      <w:r>
        <w:rPr>
          <w:rFonts w:eastAsiaTheme="minorHAnsi"/>
          <w:b w:val="0"/>
          <w:sz w:val="24"/>
          <w:szCs w:val="24"/>
          <w:lang w:val="uk-UA" w:eastAsia="en-US"/>
        </w:rPr>
        <w:t xml:space="preserve">була розроблена </w:t>
      </w:r>
      <w:r w:rsidR="005B4D82">
        <w:rPr>
          <w:rFonts w:eastAsiaTheme="minorHAnsi"/>
          <w:b w:val="0"/>
          <w:sz w:val="24"/>
          <w:szCs w:val="24"/>
          <w:lang w:val="uk-UA" w:eastAsia="en-US"/>
        </w:rPr>
        <w:t>за результатами проведеного а</w:t>
      </w:r>
      <w:r>
        <w:rPr>
          <w:rFonts w:eastAsiaTheme="minorHAnsi"/>
          <w:b w:val="0"/>
          <w:sz w:val="24"/>
          <w:szCs w:val="24"/>
          <w:lang w:val="uk-UA" w:eastAsia="en-US"/>
        </w:rPr>
        <w:t>наліз</w:t>
      </w:r>
      <w:r w:rsidR="005B4D82">
        <w:rPr>
          <w:rFonts w:eastAsiaTheme="minorHAnsi"/>
          <w:b w:val="0"/>
          <w:sz w:val="24"/>
          <w:szCs w:val="24"/>
          <w:lang w:val="uk-UA" w:eastAsia="en-US"/>
        </w:rPr>
        <w:t>у</w:t>
      </w:r>
      <w:r>
        <w:rPr>
          <w:rFonts w:eastAsiaTheme="minorHAnsi"/>
          <w:b w:val="0"/>
          <w:sz w:val="24"/>
          <w:szCs w:val="24"/>
          <w:lang w:val="uk-UA" w:eastAsia="en-US"/>
        </w:rPr>
        <w:t xml:space="preserve"> фінансово-господарського стану </w:t>
      </w:r>
      <w:r w:rsidR="00CD4AD8">
        <w:rPr>
          <w:rFonts w:eastAsiaTheme="minorHAnsi"/>
          <w:b w:val="0"/>
          <w:sz w:val="24"/>
          <w:szCs w:val="24"/>
          <w:lang w:val="uk-UA" w:eastAsia="en-US"/>
        </w:rPr>
        <w:t xml:space="preserve">   </w:t>
      </w:r>
      <w:r w:rsidR="00070CDA">
        <w:rPr>
          <w:rFonts w:eastAsiaTheme="minorHAnsi"/>
          <w:b w:val="0"/>
          <w:sz w:val="24"/>
          <w:szCs w:val="24"/>
          <w:lang w:val="uk-UA" w:eastAsia="en-US"/>
        </w:rPr>
        <w:t xml:space="preserve">       </w:t>
      </w:r>
      <w:r w:rsidRPr="008D3EA3">
        <w:rPr>
          <w:b w:val="0"/>
          <w:sz w:val="24"/>
          <w:szCs w:val="24"/>
          <w:lang w:val="uk-UA"/>
        </w:rPr>
        <w:t>ПрАТ «Сєвєродонецька міська друкарня»</w:t>
      </w:r>
      <w:r>
        <w:rPr>
          <w:b w:val="0"/>
          <w:sz w:val="24"/>
          <w:szCs w:val="24"/>
          <w:lang w:val="uk-UA"/>
        </w:rPr>
        <w:t xml:space="preserve"> </w:t>
      </w:r>
      <w:r w:rsidR="005B4D82">
        <w:rPr>
          <w:b w:val="0"/>
          <w:sz w:val="24"/>
          <w:szCs w:val="24"/>
          <w:lang w:val="uk-UA"/>
        </w:rPr>
        <w:t>за фактичними показниками 2016 року та прогнозними показниками на 2017 рік</w:t>
      </w:r>
      <w:r w:rsidR="00CD4AD8">
        <w:rPr>
          <w:b w:val="0"/>
          <w:sz w:val="24"/>
          <w:szCs w:val="24"/>
          <w:lang w:val="uk-UA"/>
        </w:rPr>
        <w:t xml:space="preserve">, який </w:t>
      </w:r>
      <w:r w:rsidR="00CD4AD8" w:rsidRPr="00CD4AD8">
        <w:rPr>
          <w:b w:val="0"/>
          <w:sz w:val="24"/>
          <w:szCs w:val="24"/>
          <w:lang w:val="uk-UA"/>
        </w:rPr>
        <w:t xml:space="preserve">свідчив про дефіцит власних коштів підприємства для здійснення </w:t>
      </w:r>
      <w:r w:rsidR="00CD4AD8">
        <w:rPr>
          <w:b w:val="0"/>
          <w:sz w:val="24"/>
          <w:szCs w:val="24"/>
          <w:lang w:val="uk-UA"/>
        </w:rPr>
        <w:t xml:space="preserve">ним </w:t>
      </w:r>
      <w:r w:rsidR="00CD4AD8" w:rsidRPr="00CD4AD8">
        <w:rPr>
          <w:b w:val="0"/>
          <w:sz w:val="24"/>
          <w:szCs w:val="24"/>
          <w:lang w:val="uk-UA"/>
        </w:rPr>
        <w:t>беззбиткової діяльності</w:t>
      </w:r>
      <w:r w:rsidR="00CD4AD8">
        <w:rPr>
          <w:b w:val="0"/>
          <w:sz w:val="24"/>
          <w:szCs w:val="24"/>
          <w:lang w:val="uk-UA"/>
        </w:rPr>
        <w:t xml:space="preserve">. </w:t>
      </w:r>
      <w:r w:rsidR="00843661">
        <w:rPr>
          <w:b w:val="0"/>
          <w:sz w:val="24"/>
          <w:szCs w:val="24"/>
          <w:lang w:val="uk-UA"/>
        </w:rPr>
        <w:t>Така ситуація склалась внаслідок неконкуренто</w:t>
      </w:r>
      <w:r w:rsidR="00A62F39">
        <w:rPr>
          <w:b w:val="0"/>
          <w:sz w:val="24"/>
          <w:szCs w:val="24"/>
          <w:lang w:val="uk-UA"/>
        </w:rPr>
        <w:t>спроможності</w:t>
      </w:r>
      <w:r w:rsidR="00843661">
        <w:rPr>
          <w:b w:val="0"/>
          <w:sz w:val="24"/>
          <w:szCs w:val="24"/>
          <w:lang w:val="uk-UA"/>
        </w:rPr>
        <w:t xml:space="preserve"> підприємства</w:t>
      </w:r>
      <w:r w:rsidR="00A62F39" w:rsidRPr="00A62F39">
        <w:rPr>
          <w:b w:val="0"/>
          <w:sz w:val="24"/>
          <w:szCs w:val="24"/>
          <w:lang w:val="uk-UA"/>
        </w:rPr>
        <w:t xml:space="preserve"> </w:t>
      </w:r>
      <w:r w:rsidR="00A62F39">
        <w:rPr>
          <w:b w:val="0"/>
          <w:sz w:val="24"/>
          <w:szCs w:val="24"/>
          <w:lang w:val="uk-UA"/>
        </w:rPr>
        <w:t>на ринку поліграфічних послуг</w:t>
      </w:r>
      <w:r w:rsidR="00843661">
        <w:rPr>
          <w:b w:val="0"/>
          <w:sz w:val="24"/>
          <w:szCs w:val="24"/>
          <w:lang w:val="uk-UA"/>
        </w:rPr>
        <w:t xml:space="preserve"> у зв'язку з відсутністю сучасної матеріально-технічної бази, </w:t>
      </w:r>
      <w:r w:rsidR="00A62F39">
        <w:rPr>
          <w:b w:val="0"/>
          <w:sz w:val="24"/>
          <w:szCs w:val="24"/>
          <w:lang w:val="uk-UA"/>
        </w:rPr>
        <w:t>що призвело до поступового втрачання замовників послуг</w:t>
      </w:r>
      <w:r w:rsidR="004B5189">
        <w:rPr>
          <w:b w:val="0"/>
          <w:sz w:val="24"/>
          <w:szCs w:val="24"/>
          <w:lang w:val="uk-UA"/>
        </w:rPr>
        <w:t xml:space="preserve"> та зменшення доходу підприємства</w:t>
      </w:r>
      <w:r w:rsidR="00A62F39">
        <w:rPr>
          <w:b w:val="0"/>
          <w:sz w:val="24"/>
          <w:szCs w:val="24"/>
          <w:lang w:val="uk-UA"/>
        </w:rPr>
        <w:t>.</w:t>
      </w:r>
    </w:p>
    <w:p w:rsidR="00A13E5E" w:rsidRDefault="00A13E5E" w:rsidP="0069326E">
      <w:pPr>
        <w:pStyle w:val="ae"/>
        <w:ind w:firstLine="720"/>
        <w:jc w:val="both"/>
        <w:rPr>
          <w:lang w:val="uk-UA"/>
        </w:rPr>
      </w:pPr>
      <w:r w:rsidRPr="00D0651F">
        <w:rPr>
          <w:lang w:val="uk-UA"/>
        </w:rPr>
        <w:t>Для здійснення ПрАТ «Сєвєродонецька міська друкарня» беззбиткової та безперебійної діяльності, оновлення матеріально-технічної бази та забезпечення своєчасної  оплати обов'язкових платежів, в т.ч. виплат по оплаті праці</w:t>
      </w:r>
      <w:r>
        <w:rPr>
          <w:lang w:val="uk-UA"/>
        </w:rPr>
        <w:t>,</w:t>
      </w:r>
      <w:r w:rsidRPr="00D0651F">
        <w:rPr>
          <w:lang w:val="uk-UA"/>
        </w:rPr>
        <w:t xml:space="preserve"> у 2017 році підприємство потребу</w:t>
      </w:r>
      <w:r>
        <w:rPr>
          <w:lang w:val="uk-UA"/>
        </w:rPr>
        <w:t>вало</w:t>
      </w:r>
      <w:r w:rsidRPr="00D0651F">
        <w:rPr>
          <w:lang w:val="uk-UA"/>
        </w:rPr>
        <w:t xml:space="preserve">  додатково 312,00 тис. грн.</w:t>
      </w:r>
    </w:p>
    <w:p w:rsidR="00A13E5E" w:rsidRPr="00682041" w:rsidRDefault="00A13E5E" w:rsidP="0069326E">
      <w:pPr>
        <w:ind w:firstLine="709"/>
        <w:jc w:val="both"/>
        <w:rPr>
          <w:lang w:val="uk-UA"/>
        </w:rPr>
      </w:pPr>
      <w:r>
        <w:rPr>
          <w:lang w:val="uk-UA"/>
        </w:rPr>
        <w:t xml:space="preserve">Метою </w:t>
      </w:r>
      <w:r w:rsidRPr="008D3EA3">
        <w:rPr>
          <w:rFonts w:eastAsiaTheme="minorHAnsi"/>
          <w:lang w:val="uk-UA" w:eastAsia="en-US"/>
        </w:rPr>
        <w:t>Програм</w:t>
      </w:r>
      <w:r>
        <w:rPr>
          <w:rFonts w:eastAsiaTheme="minorHAnsi"/>
          <w:lang w:val="uk-UA" w:eastAsia="en-US"/>
        </w:rPr>
        <w:t>и</w:t>
      </w:r>
      <w:r w:rsidRPr="008D3EA3">
        <w:rPr>
          <w:rFonts w:eastAsiaTheme="minorHAnsi"/>
          <w:lang w:val="uk-UA" w:eastAsia="en-US"/>
        </w:rPr>
        <w:t xml:space="preserve"> </w:t>
      </w:r>
      <w:r w:rsidRPr="008D3EA3">
        <w:rPr>
          <w:lang w:val="uk-UA"/>
        </w:rPr>
        <w:t>підтримки ПрАТ «Сєвєродонецька міська друкарня» на 2017 рік</w:t>
      </w:r>
      <w:r>
        <w:rPr>
          <w:lang w:val="uk-UA"/>
        </w:rPr>
        <w:t xml:space="preserve"> було</w:t>
      </w:r>
      <w:r w:rsidRPr="00682041">
        <w:rPr>
          <w:lang w:val="uk-UA"/>
        </w:rPr>
        <w:t xml:space="preserve"> </w:t>
      </w:r>
      <w:r>
        <w:rPr>
          <w:lang w:val="uk-UA"/>
        </w:rPr>
        <w:t>н</w:t>
      </w:r>
      <w:r w:rsidRPr="00682041">
        <w:rPr>
          <w:lang w:val="uk-UA"/>
        </w:rPr>
        <w:t xml:space="preserve">адання фінансової підтримки </w:t>
      </w:r>
      <w:r>
        <w:rPr>
          <w:lang w:val="uk-UA"/>
        </w:rPr>
        <w:t>підприємству</w:t>
      </w:r>
      <w:r w:rsidRPr="00682041">
        <w:rPr>
          <w:lang w:val="uk-UA"/>
        </w:rPr>
        <w:t xml:space="preserve"> за рахунок коштів міського бюджету для забезпечення своєчасної виплати заробітної плати</w:t>
      </w:r>
      <w:r>
        <w:rPr>
          <w:lang w:val="uk-UA"/>
        </w:rPr>
        <w:t xml:space="preserve"> та придбання БФП </w:t>
      </w:r>
      <w:r>
        <w:rPr>
          <w:lang w:val="en-US"/>
        </w:rPr>
        <w:t>Konica</w:t>
      </w:r>
      <w:r w:rsidRPr="006467D4">
        <w:rPr>
          <w:lang w:val="uk-UA"/>
        </w:rPr>
        <w:t xml:space="preserve"> </w:t>
      </w:r>
      <w:r>
        <w:rPr>
          <w:lang w:val="en-US"/>
        </w:rPr>
        <w:t>Minolta</w:t>
      </w:r>
      <w:r w:rsidRPr="006467D4">
        <w:rPr>
          <w:lang w:val="uk-UA"/>
        </w:rPr>
        <w:t xml:space="preserve"> </w:t>
      </w:r>
      <w:r>
        <w:rPr>
          <w:lang w:val="en-US"/>
        </w:rPr>
        <w:t>bizhub</w:t>
      </w:r>
      <w:r>
        <w:rPr>
          <w:lang w:val="uk-UA"/>
        </w:rPr>
        <w:t xml:space="preserve"> </w:t>
      </w:r>
      <w:r w:rsidRPr="006467D4">
        <w:rPr>
          <w:lang w:val="uk-UA"/>
        </w:rPr>
        <w:t>258 (</w:t>
      </w:r>
      <w:r>
        <w:rPr>
          <w:lang w:val="uk-UA"/>
        </w:rPr>
        <w:t>мережевий принтер/копір/сканер/дуплекс</w:t>
      </w:r>
      <w:r w:rsidRPr="006467D4">
        <w:rPr>
          <w:lang w:val="uk-UA"/>
        </w:rPr>
        <w:t>)</w:t>
      </w:r>
      <w:r>
        <w:rPr>
          <w:lang w:val="uk-UA"/>
        </w:rPr>
        <w:t xml:space="preserve"> для оновлення матеріально-технічної бази підприємства з метою забезпечення його беззбиткової діяльності</w:t>
      </w:r>
      <w:r w:rsidRPr="00682041">
        <w:rPr>
          <w:lang w:val="uk-UA"/>
        </w:rPr>
        <w:t>.</w:t>
      </w:r>
    </w:p>
    <w:p w:rsidR="00645610" w:rsidRDefault="00880837" w:rsidP="0069326E">
      <w:pPr>
        <w:pStyle w:val="ae"/>
        <w:ind w:firstLine="720"/>
        <w:jc w:val="both"/>
        <w:rPr>
          <w:lang w:val="uk-UA"/>
        </w:rPr>
      </w:pPr>
      <w:r>
        <w:rPr>
          <w:lang w:val="uk-UA"/>
        </w:rPr>
        <w:t xml:space="preserve">Таким чином, </w:t>
      </w:r>
      <w:r w:rsidR="002960B9">
        <w:rPr>
          <w:lang w:val="uk-UA"/>
        </w:rPr>
        <w:t>Програмою</w:t>
      </w:r>
      <w:r w:rsidR="002960B9" w:rsidRPr="002960B9">
        <w:rPr>
          <w:lang w:val="uk-UA"/>
        </w:rPr>
        <w:t xml:space="preserve"> </w:t>
      </w:r>
      <w:r w:rsidR="002960B9" w:rsidRPr="008D3EA3">
        <w:rPr>
          <w:lang w:val="uk-UA"/>
        </w:rPr>
        <w:t>підтримки ПрАТ «Сєвєродонецька міська друкарня» на 2017 рік</w:t>
      </w:r>
      <w:r w:rsidR="002960B9">
        <w:rPr>
          <w:lang w:val="uk-UA"/>
        </w:rPr>
        <w:t xml:space="preserve"> було передбачено </w:t>
      </w:r>
      <w:r w:rsidR="004B5189">
        <w:rPr>
          <w:lang w:val="uk-UA"/>
        </w:rPr>
        <w:t xml:space="preserve">наступне фінансування </w:t>
      </w:r>
      <w:r w:rsidR="002960B9">
        <w:rPr>
          <w:lang w:val="uk-UA"/>
        </w:rPr>
        <w:t>заходів</w:t>
      </w:r>
      <w:r w:rsidR="00645610">
        <w:rPr>
          <w:lang w:val="uk-UA"/>
        </w:rPr>
        <w:t>:</w:t>
      </w:r>
    </w:p>
    <w:p w:rsidR="00CA6064" w:rsidRDefault="00645610" w:rsidP="0069326E">
      <w:pPr>
        <w:pStyle w:val="ae"/>
        <w:ind w:firstLine="720"/>
        <w:jc w:val="both"/>
        <w:rPr>
          <w:lang w:val="uk-UA"/>
        </w:rPr>
      </w:pPr>
      <w:r>
        <w:rPr>
          <w:lang w:val="uk-UA"/>
        </w:rPr>
        <w:t>-</w:t>
      </w:r>
      <w:r w:rsidR="002960B9">
        <w:rPr>
          <w:lang w:val="uk-UA"/>
        </w:rPr>
        <w:t xml:space="preserve"> забезпечення своєчасного виконання підприємством зобов'язання по виплаті заробітної плати</w:t>
      </w:r>
      <w:r>
        <w:rPr>
          <w:lang w:val="uk-UA"/>
        </w:rPr>
        <w:t xml:space="preserve"> у обсязі 756,00 тис. </w:t>
      </w:r>
      <w:r w:rsidR="007316BA">
        <w:rPr>
          <w:lang w:val="uk-UA"/>
        </w:rPr>
        <w:t>грн</w:t>
      </w:r>
      <w:r>
        <w:rPr>
          <w:lang w:val="uk-UA"/>
        </w:rPr>
        <w:t xml:space="preserve">., в т.ч.: за рахунок міського бюджету </w:t>
      </w:r>
      <w:r w:rsidR="007316BA">
        <w:rPr>
          <w:lang w:val="uk-UA"/>
        </w:rPr>
        <w:t>-</w:t>
      </w:r>
      <w:r>
        <w:rPr>
          <w:lang w:val="uk-UA"/>
        </w:rPr>
        <w:t xml:space="preserve"> 192,00 тис. грн., за рахунок власних коштів </w:t>
      </w:r>
      <w:r w:rsidRPr="008D3EA3">
        <w:rPr>
          <w:lang w:val="uk-UA"/>
        </w:rPr>
        <w:t>ПрАТ «Сєвєродонецька міська друкарня»</w:t>
      </w:r>
      <w:r>
        <w:rPr>
          <w:lang w:val="uk-UA"/>
        </w:rPr>
        <w:t xml:space="preserve"> - 564,00 тис. грн.;</w:t>
      </w:r>
    </w:p>
    <w:p w:rsidR="00645610" w:rsidRDefault="00645610" w:rsidP="0069326E">
      <w:pPr>
        <w:pStyle w:val="ae"/>
        <w:ind w:firstLine="720"/>
        <w:jc w:val="both"/>
        <w:rPr>
          <w:lang w:val="uk-UA"/>
        </w:rPr>
      </w:pPr>
      <w:r>
        <w:rPr>
          <w:lang w:val="uk-UA"/>
        </w:rPr>
        <w:t>- оновлення матеріально-технічної бази на суму 120,00 тис. грн.</w:t>
      </w:r>
    </w:p>
    <w:p w:rsidR="003F5705" w:rsidRDefault="003E4841" w:rsidP="0069326E">
      <w:pPr>
        <w:pStyle w:val="ae"/>
        <w:ind w:firstLine="720"/>
        <w:jc w:val="both"/>
        <w:rPr>
          <w:lang w:val="uk-UA"/>
        </w:rPr>
      </w:pPr>
      <w:r>
        <w:rPr>
          <w:lang w:val="uk-UA"/>
        </w:rPr>
        <w:t xml:space="preserve">В результаті виконання </w:t>
      </w:r>
      <w:r w:rsidRPr="008D3EA3">
        <w:rPr>
          <w:rFonts w:eastAsiaTheme="minorHAnsi"/>
          <w:lang w:val="uk-UA" w:eastAsia="en-US"/>
        </w:rPr>
        <w:t>Програм</w:t>
      </w:r>
      <w:r>
        <w:rPr>
          <w:rFonts w:eastAsiaTheme="minorHAnsi"/>
          <w:lang w:val="uk-UA" w:eastAsia="en-US"/>
        </w:rPr>
        <w:t>и</w:t>
      </w:r>
      <w:r w:rsidRPr="008D3EA3">
        <w:rPr>
          <w:rFonts w:eastAsiaTheme="minorHAnsi"/>
          <w:lang w:val="uk-UA" w:eastAsia="en-US"/>
        </w:rPr>
        <w:t xml:space="preserve"> </w:t>
      </w:r>
      <w:r w:rsidRPr="008D3EA3">
        <w:rPr>
          <w:lang w:val="uk-UA"/>
        </w:rPr>
        <w:t>підтримки ПрАТ «Сєвєродонецька міська друкарня» на 2017 рік</w:t>
      </w:r>
      <w:r>
        <w:rPr>
          <w:lang w:val="uk-UA"/>
        </w:rPr>
        <w:t xml:space="preserve"> фінансування заходу із забезпечення своєчасного виконання підприємством зобов'язання по виплаті заробітної плати виконано </w:t>
      </w:r>
      <w:r w:rsidR="0069326E">
        <w:rPr>
          <w:lang w:val="uk-UA"/>
        </w:rPr>
        <w:t>у повному обсязі, але фінансування оновлення матеріально-технічної бази не відбулось з причин відсутності коштів міського бюджету</w:t>
      </w:r>
      <w:r w:rsidR="00390B49">
        <w:rPr>
          <w:lang w:val="uk-UA"/>
        </w:rPr>
        <w:t xml:space="preserve"> (таблиця 1,2)</w:t>
      </w:r>
      <w:r w:rsidR="0069326E">
        <w:rPr>
          <w:lang w:val="uk-UA"/>
        </w:rPr>
        <w:t>.</w:t>
      </w:r>
    </w:p>
    <w:p w:rsidR="003F5705" w:rsidRDefault="003F5705" w:rsidP="00645610">
      <w:pPr>
        <w:pStyle w:val="ae"/>
        <w:ind w:firstLine="720"/>
        <w:jc w:val="both"/>
        <w:rPr>
          <w:lang w:val="uk-UA"/>
        </w:rPr>
      </w:pPr>
    </w:p>
    <w:p w:rsidR="003F5705" w:rsidRDefault="004C6A87" w:rsidP="004C6A87">
      <w:pPr>
        <w:pStyle w:val="ae"/>
        <w:ind w:firstLine="720"/>
        <w:jc w:val="center"/>
        <w:rPr>
          <w:lang w:val="uk-UA"/>
        </w:rPr>
      </w:pPr>
      <w:r w:rsidRPr="00362067">
        <w:rPr>
          <w:b/>
          <w:lang w:val="uk-UA"/>
        </w:rPr>
        <w:t>Пропозиції щодо подальшого виконання програми</w:t>
      </w:r>
    </w:p>
    <w:p w:rsidR="003F5705" w:rsidRDefault="003F5705" w:rsidP="00645610">
      <w:pPr>
        <w:pStyle w:val="ae"/>
        <w:ind w:firstLine="720"/>
        <w:jc w:val="both"/>
        <w:rPr>
          <w:lang w:val="uk-UA"/>
        </w:rPr>
      </w:pPr>
    </w:p>
    <w:p w:rsidR="004A6839" w:rsidRDefault="004C6A87" w:rsidP="0055324A">
      <w:pPr>
        <w:ind w:firstLine="709"/>
        <w:jc w:val="both"/>
        <w:rPr>
          <w:lang w:val="uk-UA"/>
        </w:rPr>
      </w:pPr>
      <w:r>
        <w:rPr>
          <w:lang w:val="uk-UA"/>
        </w:rPr>
        <w:t>Враховуючи актуальність визначених проблем у 2016 році, які існу</w:t>
      </w:r>
      <w:r w:rsidR="004A6839">
        <w:rPr>
          <w:lang w:val="uk-UA"/>
        </w:rPr>
        <w:t>вали у 2017 році та існують</w:t>
      </w:r>
      <w:r>
        <w:rPr>
          <w:lang w:val="uk-UA"/>
        </w:rPr>
        <w:t xml:space="preserve"> і </w:t>
      </w:r>
      <w:r w:rsidR="00BD579A">
        <w:rPr>
          <w:lang w:val="uk-UA"/>
        </w:rPr>
        <w:t>на</w:t>
      </w:r>
      <w:r>
        <w:rPr>
          <w:lang w:val="uk-UA"/>
        </w:rPr>
        <w:t xml:space="preserve"> теперішній час</w:t>
      </w:r>
      <w:r w:rsidR="004A6839">
        <w:rPr>
          <w:lang w:val="uk-UA"/>
        </w:rPr>
        <w:t>,</w:t>
      </w:r>
      <w:r>
        <w:rPr>
          <w:lang w:val="uk-UA"/>
        </w:rPr>
        <w:t xml:space="preserve"> </w:t>
      </w:r>
      <w:r w:rsidR="00BD579A">
        <w:rPr>
          <w:lang w:val="uk-UA"/>
        </w:rPr>
        <w:t xml:space="preserve">30 січня 2018 року </w:t>
      </w:r>
      <w:r>
        <w:rPr>
          <w:lang w:val="uk-UA"/>
        </w:rPr>
        <w:t>Сєвєродонецькою міською радою було прийнято  рішення № 2212 «Про затвердження Програми підтримки ПрАТ «Сєвєродонецька міська друкарня»</w:t>
      </w:r>
      <w:r w:rsidR="0055324A">
        <w:rPr>
          <w:lang w:val="uk-UA"/>
        </w:rPr>
        <w:t xml:space="preserve"> на</w:t>
      </w:r>
      <w:r>
        <w:rPr>
          <w:lang w:val="uk-UA"/>
        </w:rPr>
        <w:t xml:space="preserve"> 2018 рік», </w:t>
      </w:r>
      <w:r w:rsidR="00BD579A">
        <w:rPr>
          <w:lang w:val="uk-UA"/>
        </w:rPr>
        <w:t>загальний обсяг фінансування якої склав 1072,263 тис.грн., в т.ч. кошти міського бюджету - 588,663 тис.грн., кошти</w:t>
      </w:r>
      <w:r>
        <w:rPr>
          <w:lang w:val="uk-UA"/>
        </w:rPr>
        <w:t xml:space="preserve"> </w:t>
      </w:r>
      <w:r w:rsidR="00BD579A">
        <w:rPr>
          <w:lang w:val="uk-UA"/>
        </w:rPr>
        <w:t>ПрАТ «Сєвєродонецька міська друкарня» - 483,60 тис.грн.</w:t>
      </w:r>
      <w:r w:rsidR="0055324A">
        <w:rPr>
          <w:lang w:val="uk-UA"/>
        </w:rPr>
        <w:t xml:space="preserve"> </w:t>
      </w:r>
    </w:p>
    <w:p w:rsidR="002158E0" w:rsidRDefault="004A6839" w:rsidP="004A6839">
      <w:pPr>
        <w:ind w:firstLine="709"/>
        <w:jc w:val="both"/>
        <w:rPr>
          <w:iCs/>
          <w:lang w:val="uk-UA"/>
        </w:rPr>
      </w:pPr>
      <w:r>
        <w:rPr>
          <w:lang w:val="uk-UA"/>
        </w:rPr>
        <w:t>Метою програми на 2018 рік є н</w:t>
      </w:r>
      <w:r w:rsidR="0055324A" w:rsidRPr="00682041">
        <w:rPr>
          <w:lang w:val="uk-UA"/>
        </w:rPr>
        <w:t>адання фінансової підтримки ПрАТ “Сєвєродонецька міська друкарня” за рахунок коштів міського бюджету для забезпечення своєчасної виплати заробітної плати</w:t>
      </w:r>
      <w:r w:rsidR="0055324A">
        <w:rPr>
          <w:lang w:val="uk-UA"/>
        </w:rPr>
        <w:t xml:space="preserve"> та придбання </w:t>
      </w:r>
      <w:r w:rsidR="0055324A" w:rsidRPr="00723B25">
        <w:rPr>
          <w:lang w:val="uk-UA"/>
        </w:rPr>
        <w:t xml:space="preserve">БФП bizhub </w:t>
      </w:r>
      <w:r w:rsidR="0055324A">
        <w:rPr>
          <w:lang w:val="uk-UA"/>
        </w:rPr>
        <w:t xml:space="preserve">С </w:t>
      </w:r>
      <w:r w:rsidR="0055324A" w:rsidRPr="00723B25">
        <w:rPr>
          <w:lang w:val="uk-UA"/>
        </w:rPr>
        <w:t>258</w:t>
      </w:r>
      <w:r w:rsidR="0055324A">
        <w:rPr>
          <w:lang w:val="uk-UA"/>
        </w:rPr>
        <w:t xml:space="preserve"> </w:t>
      </w:r>
      <w:r w:rsidR="0055324A">
        <w:rPr>
          <w:lang w:val="en-US"/>
        </w:rPr>
        <w:t>STE</w:t>
      </w:r>
      <w:r w:rsidR="0055324A" w:rsidRPr="00925FA0">
        <w:rPr>
          <w:lang w:val="uk-UA"/>
        </w:rPr>
        <w:t>03</w:t>
      </w:r>
      <w:r w:rsidR="0055324A">
        <w:rPr>
          <w:lang w:val="uk-UA"/>
        </w:rPr>
        <w:t xml:space="preserve"> </w:t>
      </w:r>
      <w:r w:rsidR="0055324A" w:rsidRPr="006467D4">
        <w:rPr>
          <w:lang w:val="uk-UA"/>
        </w:rPr>
        <w:t>(</w:t>
      </w:r>
      <w:r w:rsidR="0055324A">
        <w:rPr>
          <w:lang w:val="uk-UA"/>
        </w:rPr>
        <w:t>мережевий принтер/копір/сканер/дуплекс</w:t>
      </w:r>
      <w:r w:rsidR="0055324A" w:rsidRPr="006467D4">
        <w:rPr>
          <w:lang w:val="uk-UA"/>
        </w:rPr>
        <w:t>)</w:t>
      </w:r>
      <w:r w:rsidR="0055324A">
        <w:rPr>
          <w:lang w:val="uk-UA"/>
        </w:rPr>
        <w:t xml:space="preserve">, </w:t>
      </w:r>
      <w:r w:rsidR="0055324A" w:rsidRPr="00DA06DF">
        <w:rPr>
          <w:sz w:val="23"/>
          <w:szCs w:val="23"/>
          <w:lang w:val="uk-UA"/>
        </w:rPr>
        <w:t xml:space="preserve">біндера </w:t>
      </w:r>
      <w:r w:rsidR="0055324A" w:rsidRPr="00DA06DF">
        <w:rPr>
          <w:sz w:val="23"/>
          <w:szCs w:val="23"/>
          <w:lang w:val="en-US"/>
        </w:rPr>
        <w:t>RenzSRW</w:t>
      </w:r>
      <w:r w:rsidR="0055324A">
        <w:rPr>
          <w:sz w:val="23"/>
          <w:szCs w:val="23"/>
          <w:lang w:val="uk-UA"/>
        </w:rPr>
        <w:t xml:space="preserve">360, </w:t>
      </w:r>
      <w:r w:rsidR="0055324A" w:rsidRPr="00DA06DF">
        <w:rPr>
          <w:sz w:val="23"/>
          <w:szCs w:val="23"/>
          <w:lang w:val="uk-UA"/>
        </w:rPr>
        <w:t xml:space="preserve">ламінатора </w:t>
      </w:r>
      <w:r w:rsidR="0055324A" w:rsidRPr="00DA06DF">
        <w:rPr>
          <w:sz w:val="23"/>
          <w:szCs w:val="23"/>
          <w:lang w:val="en-US"/>
        </w:rPr>
        <w:t>AgentLM</w:t>
      </w:r>
      <w:r w:rsidR="0055324A" w:rsidRPr="00DA06DF">
        <w:rPr>
          <w:sz w:val="23"/>
          <w:szCs w:val="23"/>
          <w:lang w:val="uk-UA"/>
        </w:rPr>
        <w:t>-</w:t>
      </w:r>
      <w:r w:rsidR="0055324A" w:rsidRPr="00DA06DF">
        <w:rPr>
          <w:sz w:val="23"/>
          <w:szCs w:val="23"/>
          <w:lang w:val="en-US"/>
        </w:rPr>
        <w:t>A</w:t>
      </w:r>
      <w:r w:rsidR="0055324A" w:rsidRPr="00DA06DF">
        <w:rPr>
          <w:sz w:val="23"/>
          <w:szCs w:val="23"/>
          <w:lang w:val="uk-UA"/>
        </w:rPr>
        <w:t>3</w:t>
      </w:r>
      <w:r w:rsidR="0055324A" w:rsidRPr="00DA06DF">
        <w:rPr>
          <w:sz w:val="23"/>
          <w:szCs w:val="23"/>
          <w:lang w:val="en-US"/>
        </w:rPr>
        <w:t> </w:t>
      </w:r>
      <w:r w:rsidR="0055324A" w:rsidRPr="00DA06DF">
        <w:rPr>
          <w:sz w:val="23"/>
          <w:szCs w:val="23"/>
          <w:lang w:val="uk-UA"/>
        </w:rPr>
        <w:t>250</w:t>
      </w:r>
      <w:r w:rsidR="0055324A" w:rsidRPr="00DA06DF">
        <w:rPr>
          <w:sz w:val="23"/>
          <w:szCs w:val="23"/>
          <w:lang w:val="en-US"/>
        </w:rPr>
        <w:t>MD</w:t>
      </w:r>
      <w:r w:rsidR="0055324A">
        <w:rPr>
          <w:lang w:val="uk-UA"/>
        </w:rPr>
        <w:t xml:space="preserve">, </w:t>
      </w:r>
      <w:r w:rsidR="0055324A">
        <w:rPr>
          <w:sz w:val="23"/>
          <w:szCs w:val="23"/>
          <w:lang w:val="uk-UA"/>
        </w:rPr>
        <w:t>різака 552510 мм</w:t>
      </w:r>
      <w:r w:rsidR="0055324A">
        <w:rPr>
          <w:lang w:val="uk-UA"/>
        </w:rPr>
        <w:t xml:space="preserve"> для оновлення матеріально-технічної бази підприємства з метою забезпечення його беззбиткової діяльності</w:t>
      </w:r>
      <w:r w:rsidR="0055324A" w:rsidRPr="00682041">
        <w:rPr>
          <w:lang w:val="uk-UA"/>
        </w:rPr>
        <w:t>.</w:t>
      </w:r>
    </w:p>
    <w:p w:rsidR="002158E0" w:rsidRPr="003F5705" w:rsidRDefault="002158E0" w:rsidP="003F5705">
      <w:pPr>
        <w:rPr>
          <w:lang w:val="uk-UA"/>
        </w:rPr>
        <w:sectPr w:rsidR="002158E0" w:rsidRPr="003F5705" w:rsidSect="00793F4B">
          <w:pgSz w:w="11906" w:h="16838" w:code="9"/>
          <w:pgMar w:top="624" w:right="567" w:bottom="624" w:left="1418" w:header="709" w:footer="709" w:gutter="0"/>
          <w:cols w:space="708"/>
          <w:docGrid w:linePitch="360"/>
        </w:sectPr>
      </w:pPr>
    </w:p>
    <w:p w:rsidR="002158E0" w:rsidRPr="00C27E2A" w:rsidRDefault="00793F4B" w:rsidP="00793F4B">
      <w:pPr>
        <w:pStyle w:val="ae"/>
        <w:ind w:firstLine="720"/>
        <w:jc w:val="right"/>
        <w:rPr>
          <w:iCs/>
          <w:sz w:val="22"/>
          <w:szCs w:val="22"/>
          <w:lang w:val="uk-UA"/>
        </w:rPr>
      </w:pPr>
      <w:r w:rsidRPr="00C27E2A">
        <w:rPr>
          <w:iCs/>
          <w:sz w:val="22"/>
          <w:szCs w:val="22"/>
          <w:lang w:val="uk-UA"/>
        </w:rPr>
        <w:lastRenderedPageBreak/>
        <w:t>Таблиця 1</w:t>
      </w:r>
    </w:p>
    <w:p w:rsidR="00BB5EE0" w:rsidRPr="00C27E2A" w:rsidRDefault="00BB5EE0" w:rsidP="00BB5EE0">
      <w:pPr>
        <w:widowControl w:val="0"/>
        <w:autoSpaceDE w:val="0"/>
        <w:autoSpaceDN w:val="0"/>
        <w:adjustRightInd w:val="0"/>
        <w:ind w:left="2520"/>
        <w:jc w:val="center"/>
        <w:rPr>
          <w:b/>
          <w:sz w:val="22"/>
          <w:szCs w:val="22"/>
        </w:rPr>
      </w:pPr>
      <w:r w:rsidRPr="00C27E2A">
        <w:rPr>
          <w:b/>
          <w:sz w:val="22"/>
          <w:szCs w:val="22"/>
        </w:rPr>
        <w:t>Фінансування завдань та заходів програми</w:t>
      </w:r>
    </w:p>
    <w:p w:rsidR="00BB5EE0" w:rsidRPr="00657E60" w:rsidRDefault="00BB5EE0" w:rsidP="00BB5EE0">
      <w:pPr>
        <w:widowControl w:val="0"/>
        <w:autoSpaceDE w:val="0"/>
        <w:autoSpaceDN w:val="0"/>
        <w:adjustRightInd w:val="0"/>
      </w:pPr>
    </w:p>
    <w:tbl>
      <w:tblPr>
        <w:tblW w:w="1587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5"/>
        <w:gridCol w:w="2552"/>
        <w:gridCol w:w="1701"/>
        <w:gridCol w:w="2126"/>
        <w:gridCol w:w="1701"/>
        <w:gridCol w:w="1843"/>
        <w:gridCol w:w="1417"/>
        <w:gridCol w:w="2126"/>
      </w:tblGrid>
      <w:tr w:rsidR="00BB5EE0" w:rsidRPr="00B05087" w:rsidTr="00484E72">
        <w:trPr>
          <w:trHeight w:val="1400"/>
        </w:trPr>
        <w:tc>
          <w:tcPr>
            <w:tcW w:w="2405" w:type="dxa"/>
            <w:vAlign w:val="center"/>
          </w:tcPr>
          <w:p w:rsidR="00BB5EE0" w:rsidRPr="00B05087" w:rsidRDefault="00BB5EE0" w:rsidP="00CE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5087">
              <w:rPr>
                <w:b/>
                <w:bCs/>
                <w:sz w:val="22"/>
                <w:szCs w:val="22"/>
              </w:rPr>
              <w:t>Найменування завдання</w:t>
            </w:r>
          </w:p>
        </w:tc>
        <w:tc>
          <w:tcPr>
            <w:tcW w:w="2552" w:type="dxa"/>
            <w:vAlign w:val="center"/>
          </w:tcPr>
          <w:p w:rsidR="00BB5EE0" w:rsidRPr="00B05087" w:rsidRDefault="00BB5EE0" w:rsidP="00CE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5087">
              <w:rPr>
                <w:b/>
                <w:bCs/>
                <w:sz w:val="22"/>
                <w:szCs w:val="22"/>
              </w:rPr>
              <w:t>Найменування заходу</w:t>
            </w:r>
          </w:p>
        </w:tc>
        <w:tc>
          <w:tcPr>
            <w:tcW w:w="1701" w:type="dxa"/>
            <w:vAlign w:val="center"/>
          </w:tcPr>
          <w:p w:rsidR="00BB5EE0" w:rsidRPr="00B05087" w:rsidRDefault="00BB5EE0" w:rsidP="00CE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5087">
              <w:rPr>
                <w:b/>
                <w:bCs/>
                <w:sz w:val="22"/>
                <w:szCs w:val="22"/>
              </w:rPr>
              <w:t>Виконавець</w:t>
            </w:r>
          </w:p>
        </w:tc>
        <w:tc>
          <w:tcPr>
            <w:tcW w:w="2126" w:type="dxa"/>
            <w:vAlign w:val="center"/>
          </w:tcPr>
          <w:p w:rsidR="00BB5EE0" w:rsidRPr="00B05087" w:rsidRDefault="00BB5EE0" w:rsidP="00CE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5087">
              <w:rPr>
                <w:b/>
                <w:bCs/>
                <w:sz w:val="22"/>
                <w:szCs w:val="22"/>
              </w:rPr>
              <w:t>Джерела</w:t>
            </w:r>
          </w:p>
          <w:p w:rsidR="00BB5EE0" w:rsidRPr="00B05087" w:rsidRDefault="00BB5EE0" w:rsidP="00CE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5087">
              <w:rPr>
                <w:b/>
                <w:bCs/>
                <w:sz w:val="22"/>
                <w:szCs w:val="22"/>
              </w:rPr>
              <w:t>фінансування</w:t>
            </w:r>
          </w:p>
        </w:tc>
        <w:tc>
          <w:tcPr>
            <w:tcW w:w="1701" w:type="dxa"/>
            <w:vAlign w:val="center"/>
          </w:tcPr>
          <w:p w:rsidR="00BB5EE0" w:rsidRPr="00B05087" w:rsidRDefault="00BB5EE0" w:rsidP="00CE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5087">
              <w:rPr>
                <w:b/>
                <w:sz w:val="22"/>
                <w:szCs w:val="22"/>
              </w:rPr>
              <w:t>Планові обсяги фінансування,</w:t>
            </w:r>
          </w:p>
          <w:p w:rsidR="00BB5EE0" w:rsidRPr="00B05087" w:rsidRDefault="00BB5EE0" w:rsidP="00CE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5087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1843" w:type="dxa"/>
            <w:vAlign w:val="center"/>
          </w:tcPr>
          <w:p w:rsidR="00BB5EE0" w:rsidRPr="00B05087" w:rsidRDefault="00BB5EE0" w:rsidP="00CE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5087">
              <w:rPr>
                <w:b/>
                <w:sz w:val="22"/>
                <w:szCs w:val="22"/>
              </w:rPr>
              <w:t>Фактичні обсяги фінансування, тис. грн.</w:t>
            </w:r>
          </w:p>
          <w:p w:rsidR="00BB5EE0" w:rsidRPr="00B05087" w:rsidRDefault="00BB5EE0" w:rsidP="00095F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5087">
              <w:rPr>
                <w:b/>
                <w:bCs/>
                <w:sz w:val="22"/>
                <w:szCs w:val="22"/>
              </w:rPr>
              <w:t xml:space="preserve">станом на </w:t>
            </w:r>
            <w:r w:rsidR="00095FFF" w:rsidRPr="00B05087">
              <w:rPr>
                <w:b/>
                <w:bCs/>
                <w:sz w:val="22"/>
                <w:szCs w:val="22"/>
                <w:lang w:val="uk-UA"/>
              </w:rPr>
              <w:t>01.01.</w:t>
            </w:r>
            <w:r w:rsidRPr="00B05087">
              <w:rPr>
                <w:b/>
                <w:bCs/>
                <w:sz w:val="22"/>
                <w:szCs w:val="22"/>
              </w:rPr>
              <w:t>20</w:t>
            </w:r>
            <w:r w:rsidR="00095FFF" w:rsidRPr="00B05087">
              <w:rPr>
                <w:b/>
                <w:bCs/>
                <w:sz w:val="22"/>
                <w:szCs w:val="22"/>
                <w:lang w:val="uk-UA"/>
              </w:rPr>
              <w:t xml:space="preserve">18 </w:t>
            </w:r>
            <w:r w:rsidRPr="00B05087">
              <w:rPr>
                <w:b/>
                <w:bCs/>
                <w:sz w:val="22"/>
                <w:szCs w:val="22"/>
              </w:rPr>
              <w:t>р.</w:t>
            </w:r>
          </w:p>
        </w:tc>
        <w:tc>
          <w:tcPr>
            <w:tcW w:w="1417" w:type="dxa"/>
            <w:vAlign w:val="center"/>
          </w:tcPr>
          <w:p w:rsidR="00BB5EE0" w:rsidRPr="00B05087" w:rsidRDefault="00BB5EE0" w:rsidP="00CE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5087">
              <w:rPr>
                <w:b/>
                <w:bCs/>
                <w:sz w:val="22"/>
                <w:szCs w:val="22"/>
              </w:rPr>
              <w:t>Факт до плану,</w:t>
            </w:r>
          </w:p>
          <w:p w:rsidR="00BB5EE0" w:rsidRPr="00B05087" w:rsidRDefault="00BB5EE0" w:rsidP="00CE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5087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6" w:type="dxa"/>
            <w:vAlign w:val="center"/>
          </w:tcPr>
          <w:p w:rsidR="007A153D" w:rsidRDefault="00BB5EE0" w:rsidP="00CE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05087">
              <w:rPr>
                <w:b/>
                <w:bCs/>
                <w:sz w:val="22"/>
                <w:szCs w:val="22"/>
              </w:rPr>
              <w:t>Виконано/</w:t>
            </w:r>
          </w:p>
          <w:p w:rsidR="00BB5EE0" w:rsidRPr="00B05087" w:rsidRDefault="00BB5EE0" w:rsidP="00CE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5087">
              <w:rPr>
                <w:b/>
                <w:bCs/>
                <w:sz w:val="22"/>
                <w:szCs w:val="22"/>
              </w:rPr>
              <w:t>не виконано (причини)</w:t>
            </w:r>
          </w:p>
          <w:p w:rsidR="00BB5EE0" w:rsidRPr="00B05087" w:rsidRDefault="00BB5EE0" w:rsidP="00CE2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45C3" w:rsidRPr="00B05087" w:rsidTr="00484E72">
        <w:trPr>
          <w:trHeight w:val="625"/>
        </w:trPr>
        <w:tc>
          <w:tcPr>
            <w:tcW w:w="2405" w:type="dxa"/>
            <w:vMerge w:val="restart"/>
            <w:vAlign w:val="center"/>
          </w:tcPr>
          <w:p w:rsidR="006045C3" w:rsidRPr="00B05087" w:rsidRDefault="006045C3" w:rsidP="006045C3">
            <w:pPr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Стабільна та безперебійна</w:t>
            </w:r>
          </w:p>
          <w:p w:rsidR="006045C3" w:rsidRPr="00B05087" w:rsidRDefault="006045C3" w:rsidP="006045C3">
            <w:pPr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робота ПрАТ «Сєвєродонецька міська друкарня»</w:t>
            </w:r>
          </w:p>
          <w:p w:rsidR="006045C3" w:rsidRPr="00B05087" w:rsidRDefault="006045C3" w:rsidP="006045C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045C3" w:rsidRPr="00B05087" w:rsidRDefault="006045C3" w:rsidP="006045C3">
            <w:pPr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Забезпечення своєчасного виконання підприємством зобов'язання по  виплаті заробітної плати</w:t>
            </w:r>
          </w:p>
        </w:tc>
        <w:tc>
          <w:tcPr>
            <w:tcW w:w="1701" w:type="dxa"/>
            <w:vMerge w:val="restart"/>
            <w:vAlign w:val="center"/>
          </w:tcPr>
          <w:p w:rsidR="006045C3" w:rsidRPr="00B05087" w:rsidRDefault="006045C3" w:rsidP="00095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5087">
              <w:rPr>
                <w:sz w:val="22"/>
                <w:szCs w:val="22"/>
                <w:lang w:val="uk-UA"/>
              </w:rPr>
              <w:t>ПрАТ «Сєвєродонецька міська друкарня»</w:t>
            </w:r>
          </w:p>
        </w:tc>
        <w:tc>
          <w:tcPr>
            <w:tcW w:w="2126" w:type="dxa"/>
            <w:vAlign w:val="center"/>
          </w:tcPr>
          <w:p w:rsidR="006045C3" w:rsidRPr="00B05087" w:rsidRDefault="006045C3" w:rsidP="00793F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6045C3" w:rsidRPr="00B05087" w:rsidRDefault="006045C3" w:rsidP="00095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192,00</w:t>
            </w:r>
          </w:p>
        </w:tc>
        <w:tc>
          <w:tcPr>
            <w:tcW w:w="1843" w:type="dxa"/>
            <w:vAlign w:val="center"/>
          </w:tcPr>
          <w:p w:rsidR="006045C3" w:rsidRPr="00B05087" w:rsidRDefault="006045C3" w:rsidP="00095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192,00</w:t>
            </w:r>
          </w:p>
        </w:tc>
        <w:tc>
          <w:tcPr>
            <w:tcW w:w="1417" w:type="dxa"/>
            <w:vAlign w:val="center"/>
          </w:tcPr>
          <w:p w:rsidR="006045C3" w:rsidRPr="00B05087" w:rsidRDefault="006045C3" w:rsidP="00095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100,00</w:t>
            </w:r>
          </w:p>
        </w:tc>
        <w:tc>
          <w:tcPr>
            <w:tcW w:w="2126" w:type="dxa"/>
            <w:vAlign w:val="center"/>
          </w:tcPr>
          <w:p w:rsidR="006045C3" w:rsidRPr="00B05087" w:rsidRDefault="007A153D" w:rsidP="00095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B05087" w:rsidRPr="00B05087">
              <w:rPr>
                <w:sz w:val="22"/>
                <w:szCs w:val="22"/>
                <w:lang w:val="uk-UA"/>
              </w:rPr>
              <w:t>иконано</w:t>
            </w:r>
          </w:p>
        </w:tc>
      </w:tr>
      <w:tr w:rsidR="007A153D" w:rsidRPr="00362067" w:rsidTr="003876E6">
        <w:trPr>
          <w:trHeight w:val="3114"/>
        </w:trPr>
        <w:tc>
          <w:tcPr>
            <w:tcW w:w="2405" w:type="dxa"/>
            <w:vMerge/>
            <w:vAlign w:val="bottom"/>
          </w:tcPr>
          <w:p w:rsidR="007A153D" w:rsidRPr="00B05087" w:rsidRDefault="007A153D" w:rsidP="00CE25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bottom"/>
          </w:tcPr>
          <w:p w:rsidR="007A153D" w:rsidRPr="00B05087" w:rsidRDefault="007A153D" w:rsidP="00CE25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bottom"/>
          </w:tcPr>
          <w:p w:rsidR="007A153D" w:rsidRPr="00B05087" w:rsidRDefault="007A153D" w:rsidP="00CE25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A153D" w:rsidRPr="00B05087" w:rsidRDefault="007A153D" w:rsidP="00EA76F8">
            <w:pPr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Фонд заробітної плати</w:t>
            </w:r>
          </w:p>
          <w:p w:rsidR="007A153D" w:rsidRPr="00B05087" w:rsidRDefault="007A153D" w:rsidP="00EA7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5087">
              <w:rPr>
                <w:sz w:val="22"/>
                <w:szCs w:val="22"/>
                <w:lang w:val="uk-UA"/>
              </w:rPr>
              <w:t>ПрАТ «Сєвєродонецька міська друкарня»</w:t>
            </w:r>
          </w:p>
        </w:tc>
        <w:tc>
          <w:tcPr>
            <w:tcW w:w="1701" w:type="dxa"/>
            <w:vAlign w:val="center"/>
          </w:tcPr>
          <w:p w:rsidR="007A153D" w:rsidRPr="00B05087" w:rsidRDefault="007A153D" w:rsidP="00095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564,00</w:t>
            </w:r>
          </w:p>
        </w:tc>
        <w:tc>
          <w:tcPr>
            <w:tcW w:w="1843" w:type="dxa"/>
            <w:vAlign w:val="center"/>
          </w:tcPr>
          <w:p w:rsidR="007A153D" w:rsidRPr="00B05087" w:rsidRDefault="007A153D" w:rsidP="00095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5087">
              <w:rPr>
                <w:sz w:val="22"/>
                <w:szCs w:val="22"/>
                <w:lang w:val="uk-UA"/>
              </w:rPr>
              <w:t>539,8</w:t>
            </w:r>
          </w:p>
        </w:tc>
        <w:tc>
          <w:tcPr>
            <w:tcW w:w="1417" w:type="dxa"/>
            <w:vAlign w:val="center"/>
          </w:tcPr>
          <w:p w:rsidR="007A153D" w:rsidRPr="00B05087" w:rsidRDefault="007A153D" w:rsidP="00095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95,7</w:t>
            </w:r>
          </w:p>
        </w:tc>
        <w:tc>
          <w:tcPr>
            <w:tcW w:w="2126" w:type="dxa"/>
            <w:vMerge w:val="restart"/>
            <w:vAlign w:val="center"/>
          </w:tcPr>
          <w:p w:rsidR="007A153D" w:rsidRDefault="007A153D" w:rsidP="00095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 xml:space="preserve">Зменшення фактичного показника пов'язано з економією фонду заробітної плати внаслідок </w:t>
            </w:r>
            <w:r>
              <w:rPr>
                <w:sz w:val="22"/>
                <w:szCs w:val="22"/>
                <w:lang w:val="uk-UA"/>
              </w:rPr>
              <w:t xml:space="preserve">застосування </w:t>
            </w:r>
            <w:r w:rsidRPr="00B05087">
              <w:rPr>
                <w:sz w:val="22"/>
                <w:szCs w:val="22"/>
                <w:lang w:val="uk-UA"/>
              </w:rPr>
              <w:t>неповного робочого дня</w:t>
            </w:r>
            <w:r>
              <w:rPr>
                <w:sz w:val="22"/>
                <w:szCs w:val="22"/>
                <w:lang w:val="uk-UA"/>
              </w:rPr>
              <w:t xml:space="preserve"> для </w:t>
            </w:r>
            <w:r w:rsidRPr="00B05087">
              <w:rPr>
                <w:sz w:val="22"/>
                <w:szCs w:val="22"/>
                <w:lang w:val="uk-UA"/>
              </w:rPr>
              <w:t>працівників  з причин відсутності обсягів робіт</w:t>
            </w:r>
            <w:r>
              <w:rPr>
                <w:sz w:val="22"/>
                <w:szCs w:val="22"/>
                <w:lang w:val="uk-UA"/>
              </w:rPr>
              <w:t xml:space="preserve"> та скороченням чисельності робітників на 1 особу</w:t>
            </w:r>
          </w:p>
          <w:p w:rsidR="007A153D" w:rsidRDefault="007A153D" w:rsidP="00095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  <w:p w:rsidR="007A153D" w:rsidRPr="00B05087" w:rsidRDefault="007A153D" w:rsidP="00095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A153D" w:rsidRPr="00B05087" w:rsidTr="00484E72">
        <w:trPr>
          <w:trHeight w:val="211"/>
        </w:trPr>
        <w:tc>
          <w:tcPr>
            <w:tcW w:w="2405" w:type="dxa"/>
            <w:vMerge/>
            <w:vAlign w:val="bottom"/>
          </w:tcPr>
          <w:p w:rsidR="007A153D" w:rsidRPr="004C5176" w:rsidRDefault="007A153D" w:rsidP="00CE25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Merge/>
            <w:vAlign w:val="bottom"/>
          </w:tcPr>
          <w:p w:rsidR="007A153D" w:rsidRPr="004C5176" w:rsidRDefault="007A153D" w:rsidP="00CE25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vAlign w:val="bottom"/>
          </w:tcPr>
          <w:p w:rsidR="007A153D" w:rsidRPr="004C5176" w:rsidRDefault="007A153D" w:rsidP="00CE25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7A153D" w:rsidRPr="00B05087" w:rsidRDefault="007A153D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5087">
              <w:rPr>
                <w:b/>
                <w:sz w:val="22"/>
                <w:szCs w:val="22"/>
              </w:rPr>
              <w:t>Усього</w:t>
            </w:r>
          </w:p>
        </w:tc>
        <w:tc>
          <w:tcPr>
            <w:tcW w:w="1701" w:type="dxa"/>
            <w:vAlign w:val="center"/>
          </w:tcPr>
          <w:p w:rsidR="007A153D" w:rsidRPr="00B05087" w:rsidRDefault="007A153D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B05087">
              <w:rPr>
                <w:b/>
                <w:sz w:val="22"/>
                <w:szCs w:val="22"/>
                <w:lang w:val="uk-UA"/>
              </w:rPr>
              <w:t>756,00</w:t>
            </w:r>
          </w:p>
        </w:tc>
        <w:tc>
          <w:tcPr>
            <w:tcW w:w="1843" w:type="dxa"/>
            <w:vAlign w:val="center"/>
          </w:tcPr>
          <w:p w:rsidR="007A153D" w:rsidRPr="00B05087" w:rsidRDefault="007A153D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B05087">
              <w:rPr>
                <w:b/>
                <w:sz w:val="22"/>
                <w:szCs w:val="22"/>
                <w:lang w:val="uk-UA"/>
              </w:rPr>
              <w:t>731,8</w:t>
            </w:r>
          </w:p>
        </w:tc>
        <w:tc>
          <w:tcPr>
            <w:tcW w:w="1417" w:type="dxa"/>
            <w:vAlign w:val="center"/>
          </w:tcPr>
          <w:p w:rsidR="007A153D" w:rsidRPr="00B05087" w:rsidRDefault="007A153D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B05087">
              <w:rPr>
                <w:b/>
                <w:sz w:val="22"/>
                <w:szCs w:val="22"/>
                <w:lang w:val="uk-UA"/>
              </w:rPr>
              <w:t>96,8</w:t>
            </w:r>
          </w:p>
        </w:tc>
        <w:tc>
          <w:tcPr>
            <w:tcW w:w="2126" w:type="dxa"/>
            <w:vMerge/>
            <w:vAlign w:val="center"/>
          </w:tcPr>
          <w:p w:rsidR="007A153D" w:rsidRPr="00B05087" w:rsidRDefault="007A153D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01CB0" w:rsidRPr="00B05087" w:rsidTr="003876E6">
        <w:trPr>
          <w:trHeight w:val="2824"/>
        </w:trPr>
        <w:tc>
          <w:tcPr>
            <w:tcW w:w="2405" w:type="dxa"/>
            <w:vMerge w:val="restart"/>
            <w:vAlign w:val="center"/>
          </w:tcPr>
          <w:p w:rsidR="00E01CB0" w:rsidRPr="00B05087" w:rsidRDefault="00E01CB0" w:rsidP="006045C3">
            <w:pPr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Беззбиткова діяльність ПрАТ «Сєвєродонецька міська друкарня»</w:t>
            </w:r>
          </w:p>
        </w:tc>
        <w:tc>
          <w:tcPr>
            <w:tcW w:w="2552" w:type="dxa"/>
            <w:vMerge w:val="restart"/>
            <w:vAlign w:val="center"/>
          </w:tcPr>
          <w:p w:rsidR="00E01CB0" w:rsidRDefault="00E01CB0" w:rsidP="006045C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01CB0" w:rsidRDefault="00E01CB0" w:rsidP="006045C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01CB0" w:rsidRDefault="00E01CB0" w:rsidP="006045C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01CB0" w:rsidRDefault="00E01CB0" w:rsidP="006045C3">
            <w:pPr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 xml:space="preserve">Оновлення матеріально-технічної бази (придбання БФП </w:t>
            </w:r>
            <w:r w:rsidRPr="00B05087">
              <w:rPr>
                <w:sz w:val="22"/>
                <w:szCs w:val="22"/>
                <w:lang w:val="en-US"/>
              </w:rPr>
              <w:t>Konica</w:t>
            </w:r>
            <w:r w:rsidRPr="00B05087">
              <w:rPr>
                <w:sz w:val="22"/>
                <w:szCs w:val="22"/>
                <w:lang w:val="uk-UA"/>
              </w:rPr>
              <w:t xml:space="preserve"> </w:t>
            </w:r>
            <w:r w:rsidRPr="00B05087">
              <w:rPr>
                <w:sz w:val="22"/>
                <w:szCs w:val="22"/>
                <w:lang w:val="en-US"/>
              </w:rPr>
              <w:t>Minolta</w:t>
            </w:r>
            <w:r w:rsidRPr="00B05087">
              <w:rPr>
                <w:sz w:val="22"/>
                <w:szCs w:val="22"/>
                <w:lang w:val="uk-UA"/>
              </w:rPr>
              <w:t xml:space="preserve"> </w:t>
            </w:r>
            <w:r w:rsidRPr="00B05087">
              <w:rPr>
                <w:sz w:val="22"/>
                <w:szCs w:val="22"/>
                <w:lang w:val="en-US"/>
              </w:rPr>
              <w:t>bizhub</w:t>
            </w:r>
            <w:r w:rsidRPr="00B05087">
              <w:rPr>
                <w:sz w:val="22"/>
                <w:szCs w:val="22"/>
                <w:lang w:val="uk-UA"/>
              </w:rPr>
              <w:t xml:space="preserve"> 258 (мережевий принтер/копір/ сканер/дуплекс)</w:t>
            </w:r>
          </w:p>
          <w:p w:rsidR="00E01CB0" w:rsidRDefault="00E01CB0" w:rsidP="006045C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01CB0" w:rsidRDefault="00E01CB0" w:rsidP="006045C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01CB0" w:rsidRPr="00B05087" w:rsidRDefault="00E01CB0" w:rsidP="006045C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1CB0" w:rsidRPr="00B05087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ПрАТ «Сєвєродонецька міська друкарня»</w:t>
            </w:r>
          </w:p>
        </w:tc>
        <w:tc>
          <w:tcPr>
            <w:tcW w:w="2126" w:type="dxa"/>
            <w:vAlign w:val="center"/>
          </w:tcPr>
          <w:p w:rsidR="00E01CB0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  <w:p w:rsidR="00E01CB0" w:rsidRPr="00B05087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5087">
              <w:rPr>
                <w:sz w:val="22"/>
                <w:szCs w:val="22"/>
              </w:rPr>
              <w:t>Місцевий бюджет</w:t>
            </w:r>
          </w:p>
        </w:tc>
        <w:tc>
          <w:tcPr>
            <w:tcW w:w="1701" w:type="dxa"/>
            <w:vAlign w:val="center"/>
          </w:tcPr>
          <w:p w:rsidR="00E01CB0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  <w:p w:rsidR="00E01CB0" w:rsidRPr="00B05087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843" w:type="dxa"/>
            <w:vAlign w:val="center"/>
          </w:tcPr>
          <w:p w:rsidR="00E01CB0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  <w:p w:rsidR="00E01CB0" w:rsidRPr="00B05087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E01CB0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  <w:p w:rsidR="00E01CB0" w:rsidRPr="00B05087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126" w:type="dxa"/>
            <w:vMerge w:val="restart"/>
            <w:vAlign w:val="center"/>
          </w:tcPr>
          <w:p w:rsidR="00E01CB0" w:rsidRPr="00B05087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>Не виконано</w:t>
            </w:r>
          </w:p>
          <w:p w:rsidR="00E01CB0" w:rsidRPr="00B05087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  <w:p w:rsidR="00E01CB0" w:rsidRPr="00B05087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B05087">
              <w:rPr>
                <w:sz w:val="22"/>
                <w:szCs w:val="22"/>
                <w:lang w:val="uk-UA"/>
              </w:rPr>
              <w:t xml:space="preserve">Не виділено кошти на фінансування заходу </w:t>
            </w:r>
          </w:p>
        </w:tc>
      </w:tr>
      <w:tr w:rsidR="00E01CB0" w:rsidRPr="00B05087" w:rsidTr="00484E72">
        <w:trPr>
          <w:trHeight w:val="192"/>
        </w:trPr>
        <w:tc>
          <w:tcPr>
            <w:tcW w:w="2405" w:type="dxa"/>
            <w:vMerge/>
            <w:vAlign w:val="bottom"/>
          </w:tcPr>
          <w:p w:rsidR="00E01CB0" w:rsidRPr="00B05087" w:rsidRDefault="00E01CB0" w:rsidP="00CE25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bottom"/>
          </w:tcPr>
          <w:p w:rsidR="00E01CB0" w:rsidRPr="00B05087" w:rsidRDefault="00E01CB0" w:rsidP="00CE25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bottom"/>
          </w:tcPr>
          <w:p w:rsidR="00E01CB0" w:rsidRPr="00B05087" w:rsidRDefault="00E01CB0" w:rsidP="00CE25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01CB0" w:rsidRPr="00B05087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5087">
              <w:rPr>
                <w:b/>
                <w:sz w:val="22"/>
                <w:szCs w:val="22"/>
              </w:rPr>
              <w:t>Усього</w:t>
            </w:r>
          </w:p>
        </w:tc>
        <w:tc>
          <w:tcPr>
            <w:tcW w:w="1701" w:type="dxa"/>
            <w:vAlign w:val="center"/>
          </w:tcPr>
          <w:p w:rsidR="00E01CB0" w:rsidRPr="00B05087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B05087">
              <w:rPr>
                <w:b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843" w:type="dxa"/>
            <w:vAlign w:val="center"/>
          </w:tcPr>
          <w:p w:rsidR="00E01CB0" w:rsidRPr="00B05087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B05087">
              <w:rPr>
                <w:b/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E01CB0" w:rsidRPr="00B05087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B05087">
              <w:rPr>
                <w:b/>
                <w:sz w:val="22"/>
                <w:szCs w:val="22"/>
                <w:lang w:val="uk-UA"/>
              </w:rPr>
              <w:t>0,00</w:t>
            </w:r>
          </w:p>
        </w:tc>
        <w:tc>
          <w:tcPr>
            <w:tcW w:w="2126" w:type="dxa"/>
            <w:vMerge/>
            <w:vAlign w:val="center"/>
          </w:tcPr>
          <w:p w:rsidR="00E01CB0" w:rsidRPr="00B05087" w:rsidRDefault="00E01CB0" w:rsidP="00604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F6B42" w:rsidRDefault="00BF6B42" w:rsidP="00793F4B">
      <w:pPr>
        <w:widowControl w:val="0"/>
        <w:tabs>
          <w:tab w:val="left" w:pos="13820"/>
        </w:tabs>
        <w:autoSpaceDE w:val="0"/>
        <w:autoSpaceDN w:val="0"/>
        <w:adjustRightInd w:val="0"/>
        <w:ind w:left="2520"/>
        <w:jc w:val="right"/>
        <w:rPr>
          <w:b/>
          <w:lang w:val="uk-UA"/>
        </w:rPr>
      </w:pPr>
    </w:p>
    <w:p w:rsidR="00BF6B42" w:rsidRDefault="00BF6B42" w:rsidP="00793F4B">
      <w:pPr>
        <w:widowControl w:val="0"/>
        <w:tabs>
          <w:tab w:val="left" w:pos="13820"/>
        </w:tabs>
        <w:autoSpaceDE w:val="0"/>
        <w:autoSpaceDN w:val="0"/>
        <w:adjustRightInd w:val="0"/>
        <w:ind w:left="2520"/>
        <w:jc w:val="right"/>
        <w:rPr>
          <w:b/>
          <w:lang w:val="uk-UA"/>
        </w:rPr>
      </w:pPr>
    </w:p>
    <w:p w:rsidR="00BF6B42" w:rsidRDefault="00BF6B42" w:rsidP="00793F4B">
      <w:pPr>
        <w:widowControl w:val="0"/>
        <w:tabs>
          <w:tab w:val="left" w:pos="13820"/>
        </w:tabs>
        <w:autoSpaceDE w:val="0"/>
        <w:autoSpaceDN w:val="0"/>
        <w:adjustRightInd w:val="0"/>
        <w:ind w:left="2520"/>
        <w:jc w:val="right"/>
        <w:rPr>
          <w:b/>
          <w:lang w:val="uk-UA"/>
        </w:rPr>
      </w:pPr>
    </w:p>
    <w:p w:rsidR="00BF6B42" w:rsidRDefault="00BF6B42" w:rsidP="00793F4B">
      <w:pPr>
        <w:widowControl w:val="0"/>
        <w:tabs>
          <w:tab w:val="left" w:pos="13820"/>
        </w:tabs>
        <w:autoSpaceDE w:val="0"/>
        <w:autoSpaceDN w:val="0"/>
        <w:adjustRightInd w:val="0"/>
        <w:ind w:left="2520"/>
        <w:jc w:val="right"/>
        <w:rPr>
          <w:b/>
          <w:lang w:val="uk-UA"/>
        </w:rPr>
      </w:pPr>
    </w:p>
    <w:p w:rsidR="00BF6B42" w:rsidRDefault="00BF6B42" w:rsidP="00793F4B">
      <w:pPr>
        <w:widowControl w:val="0"/>
        <w:tabs>
          <w:tab w:val="left" w:pos="13820"/>
        </w:tabs>
        <w:autoSpaceDE w:val="0"/>
        <w:autoSpaceDN w:val="0"/>
        <w:adjustRightInd w:val="0"/>
        <w:ind w:left="2520"/>
        <w:jc w:val="right"/>
        <w:rPr>
          <w:b/>
          <w:lang w:val="uk-UA"/>
        </w:rPr>
      </w:pPr>
    </w:p>
    <w:p w:rsidR="00793F4B" w:rsidRDefault="00793F4B" w:rsidP="00793F4B">
      <w:pPr>
        <w:widowControl w:val="0"/>
        <w:tabs>
          <w:tab w:val="left" w:pos="13820"/>
        </w:tabs>
        <w:autoSpaceDE w:val="0"/>
        <w:autoSpaceDN w:val="0"/>
        <w:adjustRightInd w:val="0"/>
        <w:ind w:left="2520"/>
        <w:jc w:val="right"/>
        <w:rPr>
          <w:b/>
          <w:lang w:val="uk-UA"/>
        </w:rPr>
      </w:pPr>
      <w:r>
        <w:rPr>
          <w:b/>
          <w:lang w:val="uk-UA"/>
        </w:rPr>
        <w:t>Таблиця 2</w:t>
      </w:r>
    </w:p>
    <w:p w:rsidR="00BB5EE0" w:rsidRPr="00BF6B42" w:rsidRDefault="00BF6B42" w:rsidP="00BF6B42">
      <w:pPr>
        <w:widowControl w:val="0"/>
        <w:autoSpaceDE w:val="0"/>
        <w:autoSpaceDN w:val="0"/>
        <w:adjustRightInd w:val="0"/>
        <w:ind w:left="720"/>
        <w:jc w:val="center"/>
        <w:rPr>
          <w:b/>
          <w:lang w:val="uk-UA"/>
        </w:rPr>
      </w:pPr>
      <w:r w:rsidRPr="00BF6B42">
        <w:rPr>
          <w:b/>
          <w:lang w:val="uk-UA"/>
        </w:rPr>
        <w:t>Виконання заходів</w:t>
      </w:r>
    </w:p>
    <w:p w:rsidR="00BB5EE0" w:rsidRPr="00657E60" w:rsidRDefault="00BB5EE0" w:rsidP="00BB5EE0">
      <w:pPr>
        <w:widowControl w:val="0"/>
        <w:autoSpaceDE w:val="0"/>
        <w:autoSpaceDN w:val="0"/>
        <w:adjustRightInd w:val="0"/>
        <w:spacing w:line="37" w:lineRule="exact"/>
      </w:pPr>
    </w:p>
    <w:p w:rsidR="00BB5EE0" w:rsidRDefault="00BB5EE0" w:rsidP="00BB5EE0">
      <w:pPr>
        <w:widowControl w:val="0"/>
        <w:autoSpaceDE w:val="0"/>
        <w:autoSpaceDN w:val="0"/>
        <w:adjustRightInd w:val="0"/>
        <w:spacing w:line="143" w:lineRule="exact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4"/>
        <w:gridCol w:w="6263"/>
        <w:gridCol w:w="1134"/>
        <w:gridCol w:w="2126"/>
        <w:gridCol w:w="1843"/>
        <w:gridCol w:w="1806"/>
      </w:tblGrid>
      <w:tr w:rsidR="00685924" w:rsidRPr="00685924" w:rsidTr="00685924">
        <w:tc>
          <w:tcPr>
            <w:tcW w:w="2634" w:type="dxa"/>
            <w:vAlign w:val="center"/>
          </w:tcPr>
          <w:p w:rsidR="00F95110" w:rsidRPr="00685924" w:rsidRDefault="00F95110" w:rsidP="00685924">
            <w:pPr>
              <w:jc w:val="center"/>
              <w:rPr>
                <w:b/>
              </w:rPr>
            </w:pPr>
            <w:r w:rsidRPr="00685924">
              <w:rPr>
                <w:b/>
              </w:rPr>
              <w:t>Найменування завдання</w:t>
            </w:r>
          </w:p>
        </w:tc>
        <w:tc>
          <w:tcPr>
            <w:tcW w:w="6263" w:type="dxa"/>
            <w:vAlign w:val="center"/>
          </w:tcPr>
          <w:p w:rsidR="00F95110" w:rsidRPr="00685924" w:rsidRDefault="00F95110" w:rsidP="00685924">
            <w:pPr>
              <w:jc w:val="center"/>
              <w:rPr>
                <w:b/>
                <w:sz w:val="22"/>
                <w:szCs w:val="22"/>
              </w:rPr>
            </w:pPr>
            <w:r w:rsidRPr="00685924">
              <w:rPr>
                <w:b/>
                <w:sz w:val="22"/>
                <w:szCs w:val="22"/>
              </w:rPr>
              <w:t>Найменування показників виконання завдання</w:t>
            </w:r>
          </w:p>
        </w:tc>
        <w:tc>
          <w:tcPr>
            <w:tcW w:w="1134" w:type="dxa"/>
            <w:vAlign w:val="center"/>
          </w:tcPr>
          <w:p w:rsidR="00F95110" w:rsidRPr="00685924" w:rsidRDefault="00F95110" w:rsidP="00685924">
            <w:pPr>
              <w:jc w:val="center"/>
              <w:rPr>
                <w:b/>
                <w:sz w:val="22"/>
                <w:szCs w:val="22"/>
              </w:rPr>
            </w:pPr>
            <w:r w:rsidRPr="00685924">
              <w:rPr>
                <w:b/>
                <w:sz w:val="22"/>
                <w:szCs w:val="22"/>
              </w:rPr>
              <w:t>Од. вим.</w:t>
            </w:r>
          </w:p>
        </w:tc>
        <w:tc>
          <w:tcPr>
            <w:tcW w:w="2126" w:type="dxa"/>
            <w:vAlign w:val="center"/>
          </w:tcPr>
          <w:p w:rsidR="00F95110" w:rsidRPr="00685924" w:rsidRDefault="00F95110" w:rsidP="00685924">
            <w:pPr>
              <w:jc w:val="center"/>
              <w:rPr>
                <w:b/>
                <w:sz w:val="22"/>
                <w:szCs w:val="22"/>
              </w:rPr>
            </w:pPr>
            <w:r w:rsidRPr="00685924">
              <w:rPr>
                <w:b/>
                <w:sz w:val="22"/>
                <w:szCs w:val="22"/>
              </w:rPr>
              <w:t>Очікувані результати</w:t>
            </w:r>
          </w:p>
        </w:tc>
        <w:tc>
          <w:tcPr>
            <w:tcW w:w="1843" w:type="dxa"/>
            <w:vAlign w:val="center"/>
          </w:tcPr>
          <w:p w:rsidR="00F95110" w:rsidRPr="00685924" w:rsidRDefault="00F95110" w:rsidP="00685924">
            <w:pPr>
              <w:jc w:val="center"/>
              <w:rPr>
                <w:b/>
                <w:sz w:val="22"/>
                <w:szCs w:val="22"/>
              </w:rPr>
            </w:pPr>
            <w:r w:rsidRPr="00685924">
              <w:rPr>
                <w:b/>
                <w:sz w:val="22"/>
                <w:szCs w:val="22"/>
              </w:rPr>
              <w:t>Фактично досягнуто</w:t>
            </w:r>
          </w:p>
        </w:tc>
        <w:tc>
          <w:tcPr>
            <w:tcW w:w="1806" w:type="dxa"/>
            <w:vAlign w:val="center"/>
          </w:tcPr>
          <w:p w:rsidR="00F95110" w:rsidRPr="00685924" w:rsidRDefault="00F95110" w:rsidP="00685924">
            <w:pPr>
              <w:jc w:val="center"/>
              <w:rPr>
                <w:b/>
                <w:sz w:val="22"/>
                <w:szCs w:val="22"/>
              </w:rPr>
            </w:pPr>
            <w:r w:rsidRPr="00685924">
              <w:rPr>
                <w:b/>
                <w:sz w:val="22"/>
                <w:szCs w:val="22"/>
              </w:rPr>
              <w:t>Відхилення</w:t>
            </w:r>
          </w:p>
        </w:tc>
      </w:tr>
      <w:tr w:rsidR="00685924" w:rsidRPr="00685924" w:rsidTr="00685924">
        <w:trPr>
          <w:trHeight w:val="924"/>
        </w:trPr>
        <w:tc>
          <w:tcPr>
            <w:tcW w:w="2634" w:type="dxa"/>
            <w:vMerge w:val="restart"/>
            <w:vAlign w:val="center"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685924">
              <w:rPr>
                <w:lang w:val="uk-UA"/>
              </w:rPr>
              <w:t>З</w:t>
            </w:r>
            <w:r w:rsidRPr="00685924">
              <w:rPr>
                <w:iCs/>
                <w:lang w:val="uk-UA"/>
              </w:rPr>
              <w:t xml:space="preserve">дійснення заходів, направлених на </w:t>
            </w:r>
            <w:r w:rsidR="001A2904">
              <w:rPr>
                <w:iCs/>
                <w:lang w:val="uk-UA"/>
              </w:rPr>
              <w:t xml:space="preserve">             </w:t>
            </w:r>
            <w:r w:rsidRPr="00685924">
              <w:rPr>
                <w:iCs/>
                <w:lang w:val="uk-UA"/>
              </w:rPr>
              <w:t>забезпечення стабільної та беззбиткової діяльності підприємства</w:t>
            </w:r>
          </w:p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6263" w:type="dxa"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  <w:r w:rsidRPr="00685924">
              <w:rPr>
                <w:b/>
                <w:sz w:val="22"/>
                <w:szCs w:val="22"/>
              </w:rPr>
              <w:t>Показник витрат</w:t>
            </w:r>
          </w:p>
          <w:p w:rsidR="00484E72" w:rsidRPr="00685924" w:rsidRDefault="00484E72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</w:p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85924">
              <w:rPr>
                <w:sz w:val="22"/>
                <w:szCs w:val="22"/>
                <w:lang w:val="uk-UA"/>
              </w:rPr>
              <w:t>Бюджетні витрати</w:t>
            </w:r>
          </w:p>
          <w:p w:rsidR="00484E72" w:rsidRPr="00685924" w:rsidRDefault="00484E72" w:rsidP="00685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85924">
              <w:rPr>
                <w:sz w:val="22"/>
                <w:szCs w:val="22"/>
                <w:lang w:val="uk-UA"/>
              </w:rPr>
              <w:t>Витрати ПрАТ «Сєвєродонецька міська друкарня»</w:t>
            </w:r>
          </w:p>
          <w:p w:rsidR="00484E72" w:rsidRPr="00685924" w:rsidRDefault="00484E72" w:rsidP="0068592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F95110" w:rsidRPr="00685924" w:rsidRDefault="00F256BD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тис. грн.</w:t>
            </w:r>
          </w:p>
        </w:tc>
        <w:tc>
          <w:tcPr>
            <w:tcW w:w="2126" w:type="dxa"/>
            <w:vAlign w:val="center"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312,00</w:t>
            </w:r>
          </w:p>
          <w:p w:rsidR="00484E72" w:rsidRPr="00685924" w:rsidRDefault="00484E72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F95110" w:rsidRPr="00685924" w:rsidRDefault="00F95110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564,00</w:t>
            </w:r>
          </w:p>
        </w:tc>
        <w:tc>
          <w:tcPr>
            <w:tcW w:w="1843" w:type="dxa"/>
            <w:vAlign w:val="center"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F95110" w:rsidRPr="00685924" w:rsidRDefault="00F95110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192,00</w:t>
            </w:r>
          </w:p>
          <w:p w:rsidR="00484E72" w:rsidRPr="00685924" w:rsidRDefault="00484E72" w:rsidP="00685924">
            <w:pPr>
              <w:jc w:val="center"/>
              <w:rPr>
                <w:lang w:val="uk-UA"/>
              </w:rPr>
            </w:pPr>
          </w:p>
          <w:p w:rsidR="00F95110" w:rsidRPr="00685924" w:rsidRDefault="00F95110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539,8</w:t>
            </w:r>
          </w:p>
        </w:tc>
        <w:tc>
          <w:tcPr>
            <w:tcW w:w="1806" w:type="dxa"/>
            <w:vAlign w:val="center"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F256BD" w:rsidRPr="00685924" w:rsidRDefault="00F256BD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-120,00</w:t>
            </w:r>
          </w:p>
          <w:p w:rsidR="00484E72" w:rsidRPr="00685924" w:rsidRDefault="00484E72" w:rsidP="00685924">
            <w:pPr>
              <w:jc w:val="center"/>
              <w:rPr>
                <w:lang w:val="uk-UA"/>
              </w:rPr>
            </w:pPr>
          </w:p>
          <w:p w:rsidR="00F95110" w:rsidRPr="00685924" w:rsidRDefault="00F256BD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-24,2</w:t>
            </w:r>
          </w:p>
        </w:tc>
      </w:tr>
      <w:tr w:rsidR="00685924" w:rsidRPr="00685924" w:rsidTr="00685924">
        <w:tc>
          <w:tcPr>
            <w:tcW w:w="2634" w:type="dxa"/>
            <w:vMerge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263" w:type="dxa"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  <w:r w:rsidRPr="00685924">
              <w:rPr>
                <w:b/>
                <w:sz w:val="22"/>
                <w:szCs w:val="22"/>
              </w:rPr>
              <w:t>Показник продукту</w:t>
            </w:r>
          </w:p>
          <w:p w:rsidR="00484E72" w:rsidRPr="00685924" w:rsidRDefault="00484E72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</w:p>
          <w:p w:rsidR="009713F4" w:rsidRPr="00685924" w:rsidRDefault="009713F4" w:rsidP="009713F4">
            <w:pPr>
              <w:rPr>
                <w:lang w:val="uk-UA"/>
              </w:rPr>
            </w:pPr>
            <w:r w:rsidRPr="00685924">
              <w:rPr>
                <w:lang w:val="uk-UA"/>
              </w:rPr>
              <w:t>виплата заробітної плати</w:t>
            </w:r>
          </w:p>
          <w:p w:rsidR="00484E72" w:rsidRPr="00685924" w:rsidRDefault="00484E72" w:rsidP="009713F4">
            <w:pPr>
              <w:rPr>
                <w:lang w:val="uk-UA"/>
              </w:rPr>
            </w:pPr>
          </w:p>
          <w:p w:rsidR="009713F4" w:rsidRPr="00685924" w:rsidRDefault="009713F4" w:rsidP="006859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685924">
              <w:rPr>
                <w:lang w:val="uk-UA"/>
              </w:rPr>
              <w:t>оновлення матеріально-технічної бази</w:t>
            </w:r>
          </w:p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9713F4" w:rsidRPr="00685924" w:rsidRDefault="00484E72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о</w:t>
            </w:r>
            <w:r w:rsidR="009713F4" w:rsidRPr="00685924">
              <w:rPr>
                <w:lang w:val="uk-UA"/>
              </w:rPr>
              <w:t>сіб</w:t>
            </w:r>
          </w:p>
          <w:p w:rsidR="00484E72" w:rsidRPr="00685924" w:rsidRDefault="00484E72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9713F4" w:rsidRPr="00685924" w:rsidRDefault="009713F4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тис. грн.</w:t>
            </w:r>
          </w:p>
        </w:tc>
        <w:tc>
          <w:tcPr>
            <w:tcW w:w="2126" w:type="dxa"/>
            <w:vAlign w:val="center"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9713F4" w:rsidRPr="00685924" w:rsidRDefault="009713F4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13</w:t>
            </w:r>
          </w:p>
          <w:p w:rsidR="00484E72" w:rsidRPr="00685924" w:rsidRDefault="00484E72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9713F4" w:rsidRPr="00685924" w:rsidRDefault="009713F4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120,00</w:t>
            </w:r>
          </w:p>
        </w:tc>
        <w:tc>
          <w:tcPr>
            <w:tcW w:w="1843" w:type="dxa"/>
            <w:vAlign w:val="center"/>
          </w:tcPr>
          <w:p w:rsidR="004C5176" w:rsidRPr="00685924" w:rsidRDefault="004C5176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4C5176" w:rsidRPr="00685924" w:rsidRDefault="004C5176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12</w:t>
            </w:r>
          </w:p>
          <w:p w:rsidR="004C5176" w:rsidRPr="00685924" w:rsidRDefault="004C5176" w:rsidP="00685924">
            <w:pPr>
              <w:jc w:val="center"/>
              <w:rPr>
                <w:lang w:val="uk-UA"/>
              </w:rPr>
            </w:pPr>
          </w:p>
          <w:p w:rsidR="00F95110" w:rsidRPr="00685924" w:rsidRDefault="004C5176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0,00</w:t>
            </w:r>
          </w:p>
        </w:tc>
        <w:tc>
          <w:tcPr>
            <w:tcW w:w="1806" w:type="dxa"/>
            <w:vAlign w:val="center"/>
          </w:tcPr>
          <w:p w:rsidR="00C11EEA" w:rsidRPr="00685924" w:rsidRDefault="00C11EEA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C11EEA" w:rsidRPr="00685924" w:rsidRDefault="00C11EEA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F95110" w:rsidRPr="00685924" w:rsidRDefault="00C11EEA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-1</w:t>
            </w:r>
          </w:p>
          <w:p w:rsidR="00C11EEA" w:rsidRPr="00685924" w:rsidRDefault="00C11EEA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C11EEA" w:rsidRPr="00685924" w:rsidRDefault="00C11EEA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-120,00</w:t>
            </w:r>
          </w:p>
          <w:p w:rsidR="00C11EEA" w:rsidRPr="00685924" w:rsidRDefault="00C11EEA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685924" w:rsidRPr="00685924" w:rsidTr="00685924">
        <w:tc>
          <w:tcPr>
            <w:tcW w:w="2634" w:type="dxa"/>
            <w:vMerge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263" w:type="dxa"/>
            <w:vAlign w:val="bottom"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  <w:r w:rsidRPr="00685924">
              <w:rPr>
                <w:b/>
                <w:sz w:val="22"/>
                <w:szCs w:val="22"/>
              </w:rPr>
              <w:t>Показник ефективності</w:t>
            </w:r>
          </w:p>
          <w:p w:rsidR="00484E72" w:rsidRPr="00685924" w:rsidRDefault="00484E72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</w:p>
          <w:p w:rsidR="009713F4" w:rsidRPr="00685924" w:rsidRDefault="009713F4" w:rsidP="009713F4">
            <w:pPr>
              <w:rPr>
                <w:lang w:val="uk-UA"/>
              </w:rPr>
            </w:pPr>
            <w:r w:rsidRPr="00685924">
              <w:rPr>
                <w:lang w:val="uk-UA"/>
              </w:rPr>
              <w:t xml:space="preserve">забезпечення виплати заробітної плати у відповідності до законодавства України </w:t>
            </w:r>
          </w:p>
          <w:p w:rsidR="009713F4" w:rsidRPr="00685924" w:rsidRDefault="009713F4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</w:p>
          <w:p w:rsidR="009713F4" w:rsidRPr="00685924" w:rsidRDefault="009713F4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</w:p>
          <w:p w:rsidR="009713F4" w:rsidRPr="00685924" w:rsidRDefault="009713F4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713F4" w:rsidRPr="00685924" w:rsidRDefault="009713F4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9713F4" w:rsidRPr="00685924" w:rsidRDefault="009713F4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осіб</w:t>
            </w:r>
          </w:p>
          <w:p w:rsidR="009713F4" w:rsidRPr="00685924" w:rsidRDefault="009713F4" w:rsidP="00685924">
            <w:pPr>
              <w:jc w:val="center"/>
              <w:rPr>
                <w:lang w:val="uk-UA"/>
              </w:rPr>
            </w:pPr>
          </w:p>
          <w:p w:rsidR="00F95110" w:rsidRPr="00685924" w:rsidRDefault="009713F4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тис.грн. /особу в рік</w:t>
            </w:r>
          </w:p>
        </w:tc>
        <w:tc>
          <w:tcPr>
            <w:tcW w:w="2126" w:type="dxa"/>
            <w:vAlign w:val="center"/>
          </w:tcPr>
          <w:p w:rsidR="009713F4" w:rsidRPr="00685924" w:rsidRDefault="009713F4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9713F4" w:rsidRPr="00685924" w:rsidRDefault="009713F4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13</w:t>
            </w:r>
          </w:p>
          <w:p w:rsidR="009713F4" w:rsidRPr="00685924" w:rsidRDefault="009713F4" w:rsidP="00685924">
            <w:pPr>
              <w:jc w:val="center"/>
              <w:rPr>
                <w:lang w:val="uk-UA"/>
              </w:rPr>
            </w:pPr>
          </w:p>
          <w:p w:rsidR="009713F4" w:rsidRPr="00685924" w:rsidRDefault="009713F4" w:rsidP="00685924">
            <w:pPr>
              <w:jc w:val="center"/>
              <w:rPr>
                <w:lang w:val="uk-UA"/>
              </w:rPr>
            </w:pPr>
          </w:p>
          <w:p w:rsidR="009713F4" w:rsidRPr="00685924" w:rsidRDefault="009713F4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58,15</w:t>
            </w:r>
          </w:p>
          <w:p w:rsidR="00F95110" w:rsidRPr="00685924" w:rsidRDefault="00F95110" w:rsidP="00685924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95110" w:rsidRPr="00685924" w:rsidRDefault="004C5176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12</w:t>
            </w:r>
          </w:p>
          <w:p w:rsidR="004C5176" w:rsidRPr="00685924" w:rsidRDefault="004C5176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4C5176" w:rsidRPr="00685924" w:rsidRDefault="004C5176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4C5176" w:rsidRPr="00685924" w:rsidRDefault="004C5176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60,98</w:t>
            </w:r>
          </w:p>
        </w:tc>
        <w:tc>
          <w:tcPr>
            <w:tcW w:w="1806" w:type="dxa"/>
            <w:vAlign w:val="center"/>
          </w:tcPr>
          <w:p w:rsidR="00F95110" w:rsidRPr="00685924" w:rsidRDefault="00C11EEA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-1</w:t>
            </w:r>
          </w:p>
          <w:p w:rsidR="00C11EEA" w:rsidRPr="00685924" w:rsidRDefault="00C11EEA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C11EEA" w:rsidRPr="00685924" w:rsidRDefault="00C11EEA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C11EEA" w:rsidRPr="00685924" w:rsidRDefault="00C11EEA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2,83</w:t>
            </w:r>
          </w:p>
        </w:tc>
      </w:tr>
      <w:tr w:rsidR="00685924" w:rsidRPr="00685924" w:rsidTr="00685924">
        <w:tc>
          <w:tcPr>
            <w:tcW w:w="2634" w:type="dxa"/>
            <w:vMerge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263" w:type="dxa"/>
            <w:vAlign w:val="bottom"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  <w:r w:rsidRPr="00685924">
              <w:rPr>
                <w:b/>
                <w:sz w:val="22"/>
                <w:szCs w:val="22"/>
              </w:rPr>
              <w:t>Показник якості</w:t>
            </w:r>
          </w:p>
          <w:p w:rsidR="00484E72" w:rsidRPr="00685924" w:rsidRDefault="00484E72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</w:p>
          <w:p w:rsidR="009713F4" w:rsidRPr="00685924" w:rsidRDefault="009713F4" w:rsidP="009713F4">
            <w:pPr>
              <w:rPr>
                <w:lang w:val="uk-UA"/>
              </w:rPr>
            </w:pPr>
            <w:r w:rsidRPr="00685924">
              <w:rPr>
                <w:lang w:val="uk-UA"/>
              </w:rPr>
              <w:t xml:space="preserve">Своєчасна виплата заробітної плати працівникам підприємства </w:t>
            </w:r>
          </w:p>
          <w:p w:rsidR="009713F4" w:rsidRPr="00685924" w:rsidRDefault="009713F4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</w:p>
          <w:p w:rsidR="009713F4" w:rsidRPr="00685924" w:rsidRDefault="009713F4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  <w:r w:rsidRPr="00685924">
              <w:rPr>
                <w:lang w:val="uk-UA"/>
              </w:rPr>
              <w:t>Оновлення основних засобів</w:t>
            </w:r>
          </w:p>
          <w:p w:rsidR="009713F4" w:rsidRPr="00685924" w:rsidRDefault="009713F4" w:rsidP="0068592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9713F4" w:rsidRPr="00685924" w:rsidRDefault="009713F4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9713F4" w:rsidRPr="00685924" w:rsidRDefault="009713F4" w:rsidP="00685924">
            <w:pPr>
              <w:spacing w:after="12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чол.</w:t>
            </w:r>
          </w:p>
          <w:p w:rsidR="00BF6B42" w:rsidRPr="00685924" w:rsidRDefault="00BF6B42" w:rsidP="00685924">
            <w:pPr>
              <w:jc w:val="center"/>
              <w:rPr>
                <w:lang w:val="uk-UA"/>
              </w:rPr>
            </w:pPr>
          </w:p>
          <w:p w:rsidR="009713F4" w:rsidRPr="00685924" w:rsidRDefault="009713F4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%</w:t>
            </w:r>
          </w:p>
          <w:p w:rsidR="00F95110" w:rsidRPr="00685924" w:rsidRDefault="009713F4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%</w:t>
            </w:r>
          </w:p>
        </w:tc>
        <w:tc>
          <w:tcPr>
            <w:tcW w:w="2126" w:type="dxa"/>
            <w:vAlign w:val="center"/>
          </w:tcPr>
          <w:p w:rsidR="00BF6B42" w:rsidRPr="00685924" w:rsidRDefault="00BF6B42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F95110" w:rsidRPr="00685924" w:rsidRDefault="00BF6B42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13</w:t>
            </w:r>
          </w:p>
          <w:p w:rsidR="00BF6B42" w:rsidRPr="00685924" w:rsidRDefault="00BF6B42" w:rsidP="00685924">
            <w:pPr>
              <w:jc w:val="center"/>
              <w:rPr>
                <w:lang w:val="uk-UA"/>
              </w:rPr>
            </w:pPr>
          </w:p>
          <w:p w:rsidR="00BF6B42" w:rsidRPr="00685924" w:rsidRDefault="00BF6B42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100</w:t>
            </w:r>
          </w:p>
          <w:p w:rsidR="00BF6B42" w:rsidRPr="00685924" w:rsidRDefault="00BF6B42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45,6</w:t>
            </w:r>
          </w:p>
        </w:tc>
        <w:tc>
          <w:tcPr>
            <w:tcW w:w="1843" w:type="dxa"/>
            <w:vAlign w:val="center"/>
          </w:tcPr>
          <w:p w:rsidR="00F95110" w:rsidRPr="00685924" w:rsidRDefault="00F95110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4C5176" w:rsidRPr="00685924" w:rsidRDefault="004C5176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4C5176" w:rsidRPr="00685924" w:rsidRDefault="00C11EEA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12</w:t>
            </w:r>
          </w:p>
          <w:p w:rsidR="004C5176" w:rsidRPr="00685924" w:rsidRDefault="004C5176" w:rsidP="004C5176">
            <w:pPr>
              <w:rPr>
                <w:lang w:val="uk-UA"/>
              </w:rPr>
            </w:pPr>
          </w:p>
          <w:p w:rsidR="004C5176" w:rsidRPr="00685924" w:rsidRDefault="00C11EEA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0</w:t>
            </w:r>
          </w:p>
          <w:p w:rsidR="004C5176" w:rsidRPr="00685924" w:rsidRDefault="004C5176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0</w:t>
            </w:r>
          </w:p>
          <w:p w:rsidR="004C5176" w:rsidRPr="00685924" w:rsidRDefault="004C5176" w:rsidP="004C5176">
            <w:pPr>
              <w:rPr>
                <w:lang w:val="uk-UA"/>
              </w:rPr>
            </w:pPr>
          </w:p>
        </w:tc>
        <w:tc>
          <w:tcPr>
            <w:tcW w:w="1806" w:type="dxa"/>
            <w:vAlign w:val="center"/>
          </w:tcPr>
          <w:p w:rsidR="0006407B" w:rsidRPr="00685924" w:rsidRDefault="0006407B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06407B" w:rsidRPr="00685924" w:rsidRDefault="0006407B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-1</w:t>
            </w:r>
          </w:p>
          <w:p w:rsidR="0006407B" w:rsidRPr="00685924" w:rsidRDefault="0006407B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06407B" w:rsidRPr="00685924" w:rsidRDefault="0006407B" w:rsidP="0068592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-100</w:t>
            </w:r>
          </w:p>
          <w:p w:rsidR="00C11EEA" w:rsidRPr="00685924" w:rsidRDefault="0006407B" w:rsidP="00685924">
            <w:pPr>
              <w:jc w:val="center"/>
              <w:rPr>
                <w:lang w:val="uk-UA"/>
              </w:rPr>
            </w:pPr>
            <w:r w:rsidRPr="00685924">
              <w:rPr>
                <w:lang w:val="uk-UA"/>
              </w:rPr>
              <w:t>-45,6</w:t>
            </w:r>
          </w:p>
          <w:p w:rsidR="0006407B" w:rsidRPr="00685924" w:rsidRDefault="0006407B" w:rsidP="0006407B">
            <w:pPr>
              <w:rPr>
                <w:lang w:val="uk-UA"/>
              </w:rPr>
            </w:pPr>
          </w:p>
        </w:tc>
      </w:tr>
    </w:tbl>
    <w:p w:rsidR="002C275E" w:rsidRDefault="002C275E" w:rsidP="00F95110">
      <w:pPr>
        <w:widowControl w:val="0"/>
        <w:autoSpaceDE w:val="0"/>
        <w:autoSpaceDN w:val="0"/>
        <w:adjustRightInd w:val="0"/>
        <w:rPr>
          <w:lang w:val="uk-UA"/>
        </w:rPr>
      </w:pPr>
    </w:p>
    <w:p w:rsidR="002C275E" w:rsidRDefault="002C275E" w:rsidP="00BB5EE0">
      <w:pPr>
        <w:widowControl w:val="0"/>
        <w:autoSpaceDE w:val="0"/>
        <w:autoSpaceDN w:val="0"/>
        <w:adjustRightInd w:val="0"/>
        <w:spacing w:line="143" w:lineRule="exact"/>
        <w:rPr>
          <w:lang w:val="uk-UA"/>
        </w:rPr>
      </w:pPr>
    </w:p>
    <w:p w:rsidR="002C275E" w:rsidRDefault="002C275E" w:rsidP="00BB5EE0">
      <w:pPr>
        <w:widowControl w:val="0"/>
        <w:autoSpaceDE w:val="0"/>
        <w:autoSpaceDN w:val="0"/>
        <w:adjustRightInd w:val="0"/>
        <w:spacing w:line="143" w:lineRule="exact"/>
        <w:rPr>
          <w:lang w:val="uk-UA"/>
        </w:rPr>
      </w:pPr>
    </w:p>
    <w:p w:rsidR="002C275E" w:rsidRDefault="002C275E" w:rsidP="00BB5EE0">
      <w:pPr>
        <w:widowControl w:val="0"/>
        <w:autoSpaceDE w:val="0"/>
        <w:autoSpaceDN w:val="0"/>
        <w:adjustRightInd w:val="0"/>
        <w:spacing w:line="143" w:lineRule="exact"/>
        <w:rPr>
          <w:lang w:val="uk-UA"/>
        </w:rPr>
      </w:pPr>
    </w:p>
    <w:p w:rsidR="0069326E" w:rsidRDefault="0069326E" w:rsidP="0069326E">
      <w:pPr>
        <w:pStyle w:val="western"/>
        <w:spacing w:before="120" w:beforeAutospacing="0" w:after="0"/>
        <w:ind w:left="1080" w:hanging="541"/>
        <w:jc w:val="center"/>
      </w:pPr>
      <w:r w:rsidRPr="00EF2260">
        <w:rPr>
          <w:b/>
          <w:lang w:val="uk-UA"/>
        </w:rPr>
        <w:t>Секретар ради</w:t>
      </w:r>
      <w:r>
        <w:rPr>
          <w:b/>
          <w:lang w:val="uk-UA"/>
        </w:rPr>
        <w:t xml:space="preserve">                                                                                                              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="00362067">
        <w:rPr>
          <w:lang w:val="uk-UA"/>
        </w:rPr>
        <w:t>Е.Ю. Марініч</w:t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  <w:r w:rsidRPr="00EF2260">
        <w:rPr>
          <w:b/>
          <w:lang w:val="uk-UA"/>
        </w:rPr>
        <w:tab/>
      </w:r>
    </w:p>
    <w:p w:rsidR="00E01CB0" w:rsidRDefault="00E01CB0" w:rsidP="00484E72">
      <w:pPr>
        <w:widowControl w:val="0"/>
        <w:autoSpaceDE w:val="0"/>
        <w:autoSpaceDN w:val="0"/>
        <w:adjustRightInd w:val="0"/>
        <w:ind w:left="2520"/>
        <w:jc w:val="both"/>
        <w:rPr>
          <w:b/>
        </w:rPr>
        <w:sectPr w:rsidR="00E01CB0" w:rsidSect="003F5705">
          <w:pgSz w:w="16838" w:h="11906" w:orient="landscape" w:code="9"/>
          <w:pgMar w:top="426" w:right="624" w:bottom="567" w:left="624" w:header="709" w:footer="709" w:gutter="0"/>
          <w:cols w:space="708"/>
          <w:docGrid w:linePitch="360"/>
        </w:sectPr>
      </w:pPr>
    </w:p>
    <w:p w:rsidR="00281DB9" w:rsidRPr="00C67109" w:rsidRDefault="00281DB9" w:rsidP="0069326E">
      <w:pPr>
        <w:shd w:val="clear" w:color="auto" w:fill="FFFFFF"/>
        <w:rPr>
          <w:b/>
          <w:lang w:val="uk-UA"/>
        </w:rPr>
      </w:pPr>
    </w:p>
    <w:sectPr w:rsidR="00281DB9" w:rsidRPr="00C67109" w:rsidSect="001B2E80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55" w:rsidRDefault="00272255" w:rsidP="002F3654">
      <w:r>
        <w:separator/>
      </w:r>
    </w:p>
  </w:endnote>
  <w:endnote w:type="continuationSeparator" w:id="1">
    <w:p w:rsidR="00272255" w:rsidRDefault="00272255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55" w:rsidRDefault="00272255" w:rsidP="002F3654">
      <w:r>
        <w:separator/>
      </w:r>
    </w:p>
  </w:footnote>
  <w:footnote w:type="continuationSeparator" w:id="1">
    <w:p w:rsidR="00272255" w:rsidRDefault="00272255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E2F78BE"/>
    <w:multiLevelType w:val="hybridMultilevel"/>
    <w:tmpl w:val="B3F8E7AC"/>
    <w:lvl w:ilvl="0" w:tplc="A608F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ED45685"/>
    <w:multiLevelType w:val="hybridMultilevel"/>
    <w:tmpl w:val="6A66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D54B1"/>
    <w:multiLevelType w:val="hybridMultilevel"/>
    <w:tmpl w:val="B0B24480"/>
    <w:lvl w:ilvl="0" w:tplc="C392496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AE49F4"/>
    <w:multiLevelType w:val="hybridMultilevel"/>
    <w:tmpl w:val="F94C59A0"/>
    <w:lvl w:ilvl="0" w:tplc="E376C1F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D63D7D"/>
    <w:multiLevelType w:val="multilevel"/>
    <w:tmpl w:val="73D2B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3">
    <w:nsid w:val="65331D6D"/>
    <w:multiLevelType w:val="hybridMultilevel"/>
    <w:tmpl w:val="CB78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2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4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B00"/>
    <w:rsid w:val="000105D0"/>
    <w:rsid w:val="0002144A"/>
    <w:rsid w:val="00022598"/>
    <w:rsid w:val="00032E2E"/>
    <w:rsid w:val="00040A16"/>
    <w:rsid w:val="00046391"/>
    <w:rsid w:val="0006407B"/>
    <w:rsid w:val="00070CDA"/>
    <w:rsid w:val="000739F3"/>
    <w:rsid w:val="00093234"/>
    <w:rsid w:val="000950FE"/>
    <w:rsid w:val="00095FFF"/>
    <w:rsid w:val="00097049"/>
    <w:rsid w:val="000A5125"/>
    <w:rsid w:val="000A6A32"/>
    <w:rsid w:val="000B1312"/>
    <w:rsid w:val="000B6AE5"/>
    <w:rsid w:val="000C785B"/>
    <w:rsid w:val="000D0BDF"/>
    <w:rsid w:val="000E2F80"/>
    <w:rsid w:val="000E7074"/>
    <w:rsid w:val="000F10D4"/>
    <w:rsid w:val="000F1EE4"/>
    <w:rsid w:val="000F6301"/>
    <w:rsid w:val="00116983"/>
    <w:rsid w:val="00117BC7"/>
    <w:rsid w:val="00136506"/>
    <w:rsid w:val="00145BC2"/>
    <w:rsid w:val="00150599"/>
    <w:rsid w:val="00153150"/>
    <w:rsid w:val="001547B0"/>
    <w:rsid w:val="001553A4"/>
    <w:rsid w:val="001621DE"/>
    <w:rsid w:val="00163626"/>
    <w:rsid w:val="00165F78"/>
    <w:rsid w:val="00167035"/>
    <w:rsid w:val="0017623F"/>
    <w:rsid w:val="00184847"/>
    <w:rsid w:val="00187EC7"/>
    <w:rsid w:val="001A2904"/>
    <w:rsid w:val="001B2E80"/>
    <w:rsid w:val="001C62EF"/>
    <w:rsid w:val="001D3C44"/>
    <w:rsid w:val="001D5A32"/>
    <w:rsid w:val="001D5D7F"/>
    <w:rsid w:val="001E2C39"/>
    <w:rsid w:val="001F0708"/>
    <w:rsid w:val="001F0F6F"/>
    <w:rsid w:val="001F6F40"/>
    <w:rsid w:val="00200F4C"/>
    <w:rsid w:val="00201FF4"/>
    <w:rsid w:val="00205F28"/>
    <w:rsid w:val="00205F4C"/>
    <w:rsid w:val="002158E0"/>
    <w:rsid w:val="00217515"/>
    <w:rsid w:val="002176CE"/>
    <w:rsid w:val="00226FB1"/>
    <w:rsid w:val="00231202"/>
    <w:rsid w:val="002344F3"/>
    <w:rsid w:val="00242769"/>
    <w:rsid w:val="002439C4"/>
    <w:rsid w:val="0025101B"/>
    <w:rsid w:val="00256F0D"/>
    <w:rsid w:val="00262607"/>
    <w:rsid w:val="002710CE"/>
    <w:rsid w:val="00272255"/>
    <w:rsid w:val="0028026F"/>
    <w:rsid w:val="00281DB9"/>
    <w:rsid w:val="00292190"/>
    <w:rsid w:val="002960B9"/>
    <w:rsid w:val="00297589"/>
    <w:rsid w:val="002A10EE"/>
    <w:rsid w:val="002B7841"/>
    <w:rsid w:val="002C130F"/>
    <w:rsid w:val="002C1E22"/>
    <w:rsid w:val="002C2104"/>
    <w:rsid w:val="002C275E"/>
    <w:rsid w:val="002F00A2"/>
    <w:rsid w:val="002F3654"/>
    <w:rsid w:val="002F37C8"/>
    <w:rsid w:val="002F5927"/>
    <w:rsid w:val="00301E54"/>
    <w:rsid w:val="003322BE"/>
    <w:rsid w:val="00333F4C"/>
    <w:rsid w:val="00336EF7"/>
    <w:rsid w:val="00362067"/>
    <w:rsid w:val="00372ED3"/>
    <w:rsid w:val="00373428"/>
    <w:rsid w:val="00373936"/>
    <w:rsid w:val="0037434C"/>
    <w:rsid w:val="00386B24"/>
    <w:rsid w:val="003876E6"/>
    <w:rsid w:val="00387A39"/>
    <w:rsid w:val="00387AE0"/>
    <w:rsid w:val="00387AE4"/>
    <w:rsid w:val="00390B49"/>
    <w:rsid w:val="00395115"/>
    <w:rsid w:val="003A449F"/>
    <w:rsid w:val="003C28D6"/>
    <w:rsid w:val="003D2C4F"/>
    <w:rsid w:val="003D4F4B"/>
    <w:rsid w:val="003E0C19"/>
    <w:rsid w:val="003E4841"/>
    <w:rsid w:val="003E79DE"/>
    <w:rsid w:val="003F5705"/>
    <w:rsid w:val="003F5DFA"/>
    <w:rsid w:val="00407E84"/>
    <w:rsid w:val="0041490A"/>
    <w:rsid w:val="00414FCB"/>
    <w:rsid w:val="004276C7"/>
    <w:rsid w:val="004347B6"/>
    <w:rsid w:val="00443860"/>
    <w:rsid w:val="004466AA"/>
    <w:rsid w:val="00452E18"/>
    <w:rsid w:val="00470816"/>
    <w:rsid w:val="004737DE"/>
    <w:rsid w:val="00483C95"/>
    <w:rsid w:val="00484E72"/>
    <w:rsid w:val="0049444A"/>
    <w:rsid w:val="004A6839"/>
    <w:rsid w:val="004B5189"/>
    <w:rsid w:val="004B7360"/>
    <w:rsid w:val="004C078D"/>
    <w:rsid w:val="004C0B43"/>
    <w:rsid w:val="004C482E"/>
    <w:rsid w:val="004C5176"/>
    <w:rsid w:val="004C6A87"/>
    <w:rsid w:val="004D1A67"/>
    <w:rsid w:val="004E4324"/>
    <w:rsid w:val="004F4CAC"/>
    <w:rsid w:val="005204FA"/>
    <w:rsid w:val="0052071B"/>
    <w:rsid w:val="0053203A"/>
    <w:rsid w:val="00532962"/>
    <w:rsid w:val="00534AE5"/>
    <w:rsid w:val="00535EBF"/>
    <w:rsid w:val="005434E9"/>
    <w:rsid w:val="00547340"/>
    <w:rsid w:val="00553199"/>
    <w:rsid w:val="0055324A"/>
    <w:rsid w:val="00557A3E"/>
    <w:rsid w:val="00567C3D"/>
    <w:rsid w:val="00572312"/>
    <w:rsid w:val="00576FC2"/>
    <w:rsid w:val="00577D2C"/>
    <w:rsid w:val="005811AE"/>
    <w:rsid w:val="0058166B"/>
    <w:rsid w:val="00583D03"/>
    <w:rsid w:val="00586F52"/>
    <w:rsid w:val="00594040"/>
    <w:rsid w:val="00594CEB"/>
    <w:rsid w:val="00597BF3"/>
    <w:rsid w:val="005A0E60"/>
    <w:rsid w:val="005A40A5"/>
    <w:rsid w:val="005A6C3F"/>
    <w:rsid w:val="005B0770"/>
    <w:rsid w:val="005B4D82"/>
    <w:rsid w:val="005B6B19"/>
    <w:rsid w:val="005B6D85"/>
    <w:rsid w:val="005C70D4"/>
    <w:rsid w:val="005D0362"/>
    <w:rsid w:val="005D5C39"/>
    <w:rsid w:val="005F14F7"/>
    <w:rsid w:val="005F3351"/>
    <w:rsid w:val="005F35D1"/>
    <w:rsid w:val="00600C3F"/>
    <w:rsid w:val="006045C3"/>
    <w:rsid w:val="00605FB9"/>
    <w:rsid w:val="00606EC7"/>
    <w:rsid w:val="00611645"/>
    <w:rsid w:val="00611766"/>
    <w:rsid w:val="00612F2D"/>
    <w:rsid w:val="00624DAB"/>
    <w:rsid w:val="00630802"/>
    <w:rsid w:val="00631616"/>
    <w:rsid w:val="0064224E"/>
    <w:rsid w:val="00645610"/>
    <w:rsid w:val="00650339"/>
    <w:rsid w:val="006515FA"/>
    <w:rsid w:val="0065284F"/>
    <w:rsid w:val="0065380E"/>
    <w:rsid w:val="00653D17"/>
    <w:rsid w:val="006546B3"/>
    <w:rsid w:val="00661F78"/>
    <w:rsid w:val="006707CC"/>
    <w:rsid w:val="00685924"/>
    <w:rsid w:val="006871EF"/>
    <w:rsid w:val="0069326E"/>
    <w:rsid w:val="006B7866"/>
    <w:rsid w:val="006D1309"/>
    <w:rsid w:val="006E0F71"/>
    <w:rsid w:val="006F5D0C"/>
    <w:rsid w:val="00705989"/>
    <w:rsid w:val="00707657"/>
    <w:rsid w:val="00713824"/>
    <w:rsid w:val="00722ABF"/>
    <w:rsid w:val="0072431D"/>
    <w:rsid w:val="00725A0E"/>
    <w:rsid w:val="00727E99"/>
    <w:rsid w:val="00730CDA"/>
    <w:rsid w:val="007316BA"/>
    <w:rsid w:val="00744C91"/>
    <w:rsid w:val="00751EA9"/>
    <w:rsid w:val="00752AE5"/>
    <w:rsid w:val="00753340"/>
    <w:rsid w:val="00757C85"/>
    <w:rsid w:val="00757E56"/>
    <w:rsid w:val="00761E21"/>
    <w:rsid w:val="007724C8"/>
    <w:rsid w:val="00776A39"/>
    <w:rsid w:val="00777220"/>
    <w:rsid w:val="0078398A"/>
    <w:rsid w:val="00790B82"/>
    <w:rsid w:val="00793D32"/>
    <w:rsid w:val="00793F4B"/>
    <w:rsid w:val="0079451F"/>
    <w:rsid w:val="007A153D"/>
    <w:rsid w:val="007A65DF"/>
    <w:rsid w:val="007A6788"/>
    <w:rsid w:val="007A6FFF"/>
    <w:rsid w:val="007B075C"/>
    <w:rsid w:val="007C0632"/>
    <w:rsid w:val="007C3EF6"/>
    <w:rsid w:val="007D49CA"/>
    <w:rsid w:val="007E0C85"/>
    <w:rsid w:val="007E42E0"/>
    <w:rsid w:val="007F1F6A"/>
    <w:rsid w:val="007F64EE"/>
    <w:rsid w:val="007F7AA1"/>
    <w:rsid w:val="007F7EC2"/>
    <w:rsid w:val="00803B03"/>
    <w:rsid w:val="00804EA3"/>
    <w:rsid w:val="00811DDF"/>
    <w:rsid w:val="00812979"/>
    <w:rsid w:val="00815186"/>
    <w:rsid w:val="00816025"/>
    <w:rsid w:val="00831183"/>
    <w:rsid w:val="00841EE1"/>
    <w:rsid w:val="008433B4"/>
    <w:rsid w:val="00843661"/>
    <w:rsid w:val="00845372"/>
    <w:rsid w:val="00854CF7"/>
    <w:rsid w:val="00860B8B"/>
    <w:rsid w:val="00862DB9"/>
    <w:rsid w:val="0087513D"/>
    <w:rsid w:val="00875A6F"/>
    <w:rsid w:val="00875C7A"/>
    <w:rsid w:val="00880837"/>
    <w:rsid w:val="00887FBB"/>
    <w:rsid w:val="00892EE6"/>
    <w:rsid w:val="00896D9C"/>
    <w:rsid w:val="008A0684"/>
    <w:rsid w:val="008A49BD"/>
    <w:rsid w:val="008A769A"/>
    <w:rsid w:val="008B0F64"/>
    <w:rsid w:val="008C119B"/>
    <w:rsid w:val="008C4040"/>
    <w:rsid w:val="008C70EE"/>
    <w:rsid w:val="008D341B"/>
    <w:rsid w:val="008D3EA3"/>
    <w:rsid w:val="008D48FE"/>
    <w:rsid w:val="008E31E5"/>
    <w:rsid w:val="008E459E"/>
    <w:rsid w:val="008E4DA0"/>
    <w:rsid w:val="008F0890"/>
    <w:rsid w:val="008F3B6D"/>
    <w:rsid w:val="0090302A"/>
    <w:rsid w:val="00903330"/>
    <w:rsid w:val="009106EF"/>
    <w:rsid w:val="00915E31"/>
    <w:rsid w:val="00916924"/>
    <w:rsid w:val="009311C5"/>
    <w:rsid w:val="00933060"/>
    <w:rsid w:val="00944368"/>
    <w:rsid w:val="0095271A"/>
    <w:rsid w:val="00952ECD"/>
    <w:rsid w:val="00955A90"/>
    <w:rsid w:val="0096176C"/>
    <w:rsid w:val="009713F4"/>
    <w:rsid w:val="00993D9E"/>
    <w:rsid w:val="009A3C95"/>
    <w:rsid w:val="009A49DF"/>
    <w:rsid w:val="009A4A12"/>
    <w:rsid w:val="009B6BFC"/>
    <w:rsid w:val="009C2837"/>
    <w:rsid w:val="009D5DC1"/>
    <w:rsid w:val="009E028D"/>
    <w:rsid w:val="009E250C"/>
    <w:rsid w:val="00A011D3"/>
    <w:rsid w:val="00A0301B"/>
    <w:rsid w:val="00A11E08"/>
    <w:rsid w:val="00A13E5E"/>
    <w:rsid w:val="00A13F90"/>
    <w:rsid w:val="00A162D2"/>
    <w:rsid w:val="00A20625"/>
    <w:rsid w:val="00A22E28"/>
    <w:rsid w:val="00A34B87"/>
    <w:rsid w:val="00A462A6"/>
    <w:rsid w:val="00A46AF0"/>
    <w:rsid w:val="00A4770B"/>
    <w:rsid w:val="00A478CF"/>
    <w:rsid w:val="00A47CFE"/>
    <w:rsid w:val="00A56C08"/>
    <w:rsid w:val="00A60BBB"/>
    <w:rsid w:val="00A62919"/>
    <w:rsid w:val="00A62F39"/>
    <w:rsid w:val="00A760BB"/>
    <w:rsid w:val="00A8240A"/>
    <w:rsid w:val="00A8469E"/>
    <w:rsid w:val="00A87D78"/>
    <w:rsid w:val="00AA558C"/>
    <w:rsid w:val="00AA7A8A"/>
    <w:rsid w:val="00AB0316"/>
    <w:rsid w:val="00AC09C5"/>
    <w:rsid w:val="00AC75C8"/>
    <w:rsid w:val="00AD0D6E"/>
    <w:rsid w:val="00AE2CB0"/>
    <w:rsid w:val="00AE4207"/>
    <w:rsid w:val="00AE4AD4"/>
    <w:rsid w:val="00AF2BC8"/>
    <w:rsid w:val="00AF7032"/>
    <w:rsid w:val="00B00256"/>
    <w:rsid w:val="00B0076D"/>
    <w:rsid w:val="00B05087"/>
    <w:rsid w:val="00B111F1"/>
    <w:rsid w:val="00B20D6B"/>
    <w:rsid w:val="00B268A7"/>
    <w:rsid w:val="00B27C4C"/>
    <w:rsid w:val="00B32536"/>
    <w:rsid w:val="00B36EC9"/>
    <w:rsid w:val="00B52A1A"/>
    <w:rsid w:val="00B565E3"/>
    <w:rsid w:val="00B611F9"/>
    <w:rsid w:val="00B72CEF"/>
    <w:rsid w:val="00B918C4"/>
    <w:rsid w:val="00B92C2F"/>
    <w:rsid w:val="00B9514B"/>
    <w:rsid w:val="00B97F9F"/>
    <w:rsid w:val="00BA3B6D"/>
    <w:rsid w:val="00BA5978"/>
    <w:rsid w:val="00BA677B"/>
    <w:rsid w:val="00BA6F4B"/>
    <w:rsid w:val="00BB22B6"/>
    <w:rsid w:val="00BB5222"/>
    <w:rsid w:val="00BB5EE0"/>
    <w:rsid w:val="00BB723D"/>
    <w:rsid w:val="00BB7FB9"/>
    <w:rsid w:val="00BD0E91"/>
    <w:rsid w:val="00BD226B"/>
    <w:rsid w:val="00BD579A"/>
    <w:rsid w:val="00BE390B"/>
    <w:rsid w:val="00BF43D9"/>
    <w:rsid w:val="00BF63E3"/>
    <w:rsid w:val="00BF6B42"/>
    <w:rsid w:val="00C014C0"/>
    <w:rsid w:val="00C0494E"/>
    <w:rsid w:val="00C11EEA"/>
    <w:rsid w:val="00C14EB1"/>
    <w:rsid w:val="00C27E2A"/>
    <w:rsid w:val="00C42D2F"/>
    <w:rsid w:val="00C57504"/>
    <w:rsid w:val="00C60685"/>
    <w:rsid w:val="00C60E31"/>
    <w:rsid w:val="00C62939"/>
    <w:rsid w:val="00C67109"/>
    <w:rsid w:val="00C71F01"/>
    <w:rsid w:val="00C80F0C"/>
    <w:rsid w:val="00C82256"/>
    <w:rsid w:val="00C8492E"/>
    <w:rsid w:val="00C93B0F"/>
    <w:rsid w:val="00C94416"/>
    <w:rsid w:val="00C94F02"/>
    <w:rsid w:val="00CA062B"/>
    <w:rsid w:val="00CA6064"/>
    <w:rsid w:val="00CA7CB7"/>
    <w:rsid w:val="00CB33B8"/>
    <w:rsid w:val="00CC1CDB"/>
    <w:rsid w:val="00CC3A85"/>
    <w:rsid w:val="00CC5D3B"/>
    <w:rsid w:val="00CD4AD8"/>
    <w:rsid w:val="00CD5CD7"/>
    <w:rsid w:val="00CE4C4D"/>
    <w:rsid w:val="00CF49BF"/>
    <w:rsid w:val="00CF5009"/>
    <w:rsid w:val="00CF6652"/>
    <w:rsid w:val="00CF693A"/>
    <w:rsid w:val="00D03383"/>
    <w:rsid w:val="00D04A1A"/>
    <w:rsid w:val="00D106A6"/>
    <w:rsid w:val="00D10E21"/>
    <w:rsid w:val="00D13E83"/>
    <w:rsid w:val="00D3439B"/>
    <w:rsid w:val="00D350DD"/>
    <w:rsid w:val="00D354F5"/>
    <w:rsid w:val="00D37867"/>
    <w:rsid w:val="00D46027"/>
    <w:rsid w:val="00D661A0"/>
    <w:rsid w:val="00D70E38"/>
    <w:rsid w:val="00D80BEE"/>
    <w:rsid w:val="00D90AEF"/>
    <w:rsid w:val="00D97F7B"/>
    <w:rsid w:val="00DA56B1"/>
    <w:rsid w:val="00DA7339"/>
    <w:rsid w:val="00DA7871"/>
    <w:rsid w:val="00DB08F3"/>
    <w:rsid w:val="00DC12E4"/>
    <w:rsid w:val="00DD1AC8"/>
    <w:rsid w:val="00DD2D65"/>
    <w:rsid w:val="00DD3DA4"/>
    <w:rsid w:val="00DE3060"/>
    <w:rsid w:val="00DE3C1A"/>
    <w:rsid w:val="00DE6046"/>
    <w:rsid w:val="00DE7245"/>
    <w:rsid w:val="00DF0CCD"/>
    <w:rsid w:val="00DF4521"/>
    <w:rsid w:val="00DF6C44"/>
    <w:rsid w:val="00E01407"/>
    <w:rsid w:val="00E01908"/>
    <w:rsid w:val="00E01CB0"/>
    <w:rsid w:val="00E0702B"/>
    <w:rsid w:val="00E120EB"/>
    <w:rsid w:val="00E121D0"/>
    <w:rsid w:val="00E278C8"/>
    <w:rsid w:val="00E32267"/>
    <w:rsid w:val="00E33DA1"/>
    <w:rsid w:val="00E43B49"/>
    <w:rsid w:val="00E46FD9"/>
    <w:rsid w:val="00E62CE6"/>
    <w:rsid w:val="00E660EE"/>
    <w:rsid w:val="00E7215C"/>
    <w:rsid w:val="00E74BDF"/>
    <w:rsid w:val="00E8333C"/>
    <w:rsid w:val="00E90167"/>
    <w:rsid w:val="00EA45E4"/>
    <w:rsid w:val="00EA76F8"/>
    <w:rsid w:val="00EB31F4"/>
    <w:rsid w:val="00EC61A8"/>
    <w:rsid w:val="00EC7F17"/>
    <w:rsid w:val="00ED25E1"/>
    <w:rsid w:val="00ED3001"/>
    <w:rsid w:val="00EE69D6"/>
    <w:rsid w:val="00EF164A"/>
    <w:rsid w:val="00EF26AD"/>
    <w:rsid w:val="00EF4F52"/>
    <w:rsid w:val="00F04F9F"/>
    <w:rsid w:val="00F05CC9"/>
    <w:rsid w:val="00F21347"/>
    <w:rsid w:val="00F256BD"/>
    <w:rsid w:val="00F32299"/>
    <w:rsid w:val="00F371DC"/>
    <w:rsid w:val="00F41960"/>
    <w:rsid w:val="00F50104"/>
    <w:rsid w:val="00F54D88"/>
    <w:rsid w:val="00F65680"/>
    <w:rsid w:val="00F8677F"/>
    <w:rsid w:val="00F87497"/>
    <w:rsid w:val="00F9128F"/>
    <w:rsid w:val="00F95110"/>
    <w:rsid w:val="00F96153"/>
    <w:rsid w:val="00FA446F"/>
    <w:rsid w:val="00FA7523"/>
    <w:rsid w:val="00FB0ABD"/>
    <w:rsid w:val="00FB14A1"/>
    <w:rsid w:val="00FB699D"/>
    <w:rsid w:val="00FC28CA"/>
    <w:rsid w:val="00FD206C"/>
    <w:rsid w:val="00FD7551"/>
    <w:rsid w:val="00FE30E4"/>
    <w:rsid w:val="00FE570C"/>
    <w:rsid w:val="00FF1DF0"/>
    <w:rsid w:val="00FF2EF5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866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  <w:style w:type="paragraph" w:styleId="ae">
    <w:name w:val="No Spacing"/>
    <w:uiPriority w:val="1"/>
    <w:qFormat/>
    <w:rsid w:val="00B00256"/>
    <w:rPr>
      <w:sz w:val="24"/>
      <w:szCs w:val="24"/>
    </w:rPr>
  </w:style>
  <w:style w:type="paragraph" w:customStyle="1" w:styleId="western">
    <w:name w:val="western"/>
    <w:basedOn w:val="a"/>
    <w:rsid w:val="005434E9"/>
    <w:pPr>
      <w:spacing w:before="100" w:beforeAutospacing="1" w:after="119"/>
    </w:pPr>
  </w:style>
  <w:style w:type="paragraph" w:styleId="af">
    <w:name w:val="Normal (Web)"/>
    <w:basedOn w:val="a"/>
    <w:rsid w:val="001B2E80"/>
    <w:pPr>
      <w:spacing w:before="100" w:beforeAutospacing="1" w:after="119"/>
    </w:pPr>
  </w:style>
  <w:style w:type="character" w:styleId="af0">
    <w:name w:val="Hyperlink"/>
    <w:basedOn w:val="a0"/>
    <w:uiPriority w:val="99"/>
    <w:unhideWhenUsed/>
    <w:rsid w:val="00FB14A1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FB14A1"/>
    <w:rPr>
      <w:color w:val="800080"/>
      <w:u w:val="single"/>
    </w:rPr>
  </w:style>
  <w:style w:type="paragraph" w:customStyle="1" w:styleId="xl65">
    <w:name w:val="xl65"/>
    <w:basedOn w:val="a"/>
    <w:rsid w:val="00FB14A1"/>
    <w:pPr>
      <w:spacing w:before="100" w:beforeAutospacing="1" w:after="100" w:afterAutospacing="1"/>
    </w:pPr>
  </w:style>
  <w:style w:type="paragraph" w:customStyle="1" w:styleId="xl66">
    <w:name w:val="xl6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B1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B050"/>
    </w:rPr>
  </w:style>
  <w:style w:type="paragraph" w:customStyle="1" w:styleId="xl77">
    <w:name w:val="xl7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8">
    <w:name w:val="xl7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</w:rPr>
  </w:style>
  <w:style w:type="paragraph" w:customStyle="1" w:styleId="xl94">
    <w:name w:val="xl94"/>
    <w:basedOn w:val="a"/>
    <w:rsid w:val="00FB14A1"/>
    <w:pPr>
      <w:shd w:val="clear" w:color="000000" w:fill="FFFFFF"/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95">
    <w:name w:val="xl9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B14A1"/>
    <w:pPr>
      <w:spacing w:before="100" w:beforeAutospacing="1" w:after="100" w:afterAutospacing="1"/>
    </w:pPr>
  </w:style>
  <w:style w:type="paragraph" w:customStyle="1" w:styleId="xl97">
    <w:name w:val="xl97"/>
    <w:basedOn w:val="a"/>
    <w:rsid w:val="00FB14A1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B14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FB14A1"/>
    <w:pP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FB14A1"/>
    <w:pPr>
      <w:spacing w:before="100" w:beforeAutospacing="1" w:after="100" w:afterAutospacing="1"/>
    </w:pPr>
    <w:rPr>
      <w:color w:val="FFFFFF"/>
      <w:sz w:val="28"/>
      <w:szCs w:val="28"/>
    </w:rPr>
  </w:style>
  <w:style w:type="paragraph" w:customStyle="1" w:styleId="xl102">
    <w:name w:val="xl102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6">
    <w:name w:val="xl106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B1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FB1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FB1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FB14A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rsid w:val="00DE3060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BB5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B5EE0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2514A6-261E-4561-AE42-EABAB3A9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92</cp:revision>
  <cp:lastPrinted>2018-02-08T11:04:00Z</cp:lastPrinted>
  <dcterms:created xsi:type="dcterms:W3CDTF">2018-01-26T10:00:00Z</dcterms:created>
  <dcterms:modified xsi:type="dcterms:W3CDTF">2018-02-08T11:21:00Z</dcterms:modified>
</cp:coreProperties>
</file>