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0" w:rsidRPr="00251840" w:rsidRDefault="00251840" w:rsidP="00251840">
      <w:pPr>
        <w:rPr>
          <w:lang w:val="uk-UA"/>
        </w:rPr>
      </w:pP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376EBF" w:rsidP="00C66F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Сімдесят четверта</w:t>
      </w:r>
      <w:r w:rsidR="00C66FAB" w:rsidRPr="009527C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чергова</w:t>
      </w:r>
      <w:r w:rsidR="00C66FAB" w:rsidRPr="009527C1">
        <w:rPr>
          <w:b/>
          <w:sz w:val="28"/>
          <w:szCs w:val="28"/>
          <w:lang w:val="uk-UA"/>
        </w:rPr>
        <w:t>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376EBF" w:rsidRDefault="00C66FAB" w:rsidP="001816F3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</w:rPr>
        <w:t>РІШЕННЯ №</w:t>
      </w:r>
      <w:r w:rsidR="004255AD">
        <w:rPr>
          <w:b/>
          <w:sz w:val="28"/>
          <w:szCs w:val="28"/>
          <w:lang w:val="uk-UA"/>
        </w:rPr>
        <w:t xml:space="preserve"> </w:t>
      </w:r>
      <w:r w:rsidR="00376EBF">
        <w:rPr>
          <w:b/>
          <w:sz w:val="28"/>
          <w:szCs w:val="28"/>
          <w:lang w:val="uk-UA"/>
        </w:rPr>
        <w:t>4302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="00376EBF">
        <w:rPr>
          <w:b/>
          <w:lang w:val="uk-UA"/>
        </w:rPr>
        <w:t>04</w:t>
      </w:r>
      <w:r w:rsidR="00C66FAB">
        <w:rPr>
          <w:b/>
          <w:lang w:val="uk-UA"/>
        </w:rPr>
        <w:t xml:space="preserve">» </w:t>
      </w:r>
      <w:r w:rsidR="00376EBF">
        <w:rPr>
          <w:b/>
          <w:lang w:val="uk-UA"/>
        </w:rPr>
        <w:t xml:space="preserve">грудня 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972B3D">
        <w:rPr>
          <w:b/>
          <w:lang w:val="uk-UA"/>
        </w:rPr>
        <w:t>9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72B3D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</w:t>
            </w:r>
            <w:r w:rsidR="00972B3D">
              <w:rPr>
                <w:lang w:val="uk-UA"/>
              </w:rPr>
              <w:t xml:space="preserve">20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</w:t>
      </w:r>
      <w:r w:rsidR="00972B3D">
        <w:rPr>
          <w:lang w:val="uk-UA"/>
        </w:rPr>
        <w:t>20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376EBF" w:rsidRDefault="00376EBF" w:rsidP="001816F3">
      <w:pPr>
        <w:rPr>
          <w:lang w:val="uk-UA"/>
        </w:rPr>
      </w:pPr>
    </w:p>
    <w:p w:rsidR="00376EBF" w:rsidRDefault="00376EBF" w:rsidP="00376EBF">
      <w:pPr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C66FAB" w:rsidRPr="001816F3" w:rsidRDefault="00376EBF" w:rsidP="001816F3">
      <w:pPr>
        <w:spacing w:line="360" w:lineRule="auto"/>
        <w:rPr>
          <w:b/>
          <w:lang w:val="uk-UA"/>
        </w:rPr>
      </w:pPr>
      <w:r>
        <w:rPr>
          <w:b/>
          <w:lang w:val="uk-UA"/>
        </w:rPr>
        <w:t>В.о. міського голови</w:t>
      </w:r>
      <w:r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72B3D">
        <w:rPr>
          <w:b/>
          <w:lang w:val="uk-UA"/>
        </w:rPr>
        <w:t xml:space="preserve">Вячеслав </w:t>
      </w:r>
      <w:r w:rsidR="00C66FAB" w:rsidRPr="001816F3">
        <w:rPr>
          <w:b/>
          <w:lang w:val="uk-UA"/>
        </w:rPr>
        <w:t xml:space="preserve"> </w:t>
      </w:r>
      <w:r w:rsidR="00972B3D">
        <w:rPr>
          <w:b/>
          <w:lang w:val="uk-UA"/>
        </w:rPr>
        <w:t>ТКАЧУК</w:t>
      </w:r>
    </w:p>
    <w:p w:rsidR="00C66FAB" w:rsidRPr="00310D0E" w:rsidRDefault="00C66FAB" w:rsidP="001816F3">
      <w:pPr>
        <w:spacing w:line="360" w:lineRule="auto"/>
        <w:rPr>
          <w:b/>
          <w:color w:val="FFFFFF" w:themeColor="background1"/>
          <w:lang w:val="uk-UA"/>
        </w:rPr>
      </w:pPr>
      <w:r w:rsidRPr="00310D0E">
        <w:rPr>
          <w:b/>
          <w:color w:val="FFFFFF" w:themeColor="background1"/>
          <w:lang w:val="uk-UA"/>
        </w:rPr>
        <w:t>Підготував:</w:t>
      </w:r>
    </w:p>
    <w:p w:rsidR="00A27973" w:rsidRPr="00310D0E" w:rsidRDefault="00A27973" w:rsidP="00A27973">
      <w:pPr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Заступник директора департаменту -</w:t>
      </w:r>
    </w:p>
    <w:p w:rsidR="00A27973" w:rsidRPr="00310D0E" w:rsidRDefault="00A27973" w:rsidP="00A27973">
      <w:pPr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начальник відділу інвестиційної політики</w:t>
      </w:r>
    </w:p>
    <w:p w:rsidR="009D51C9" w:rsidRPr="00310D0E" w:rsidRDefault="009D51C9" w:rsidP="00A27973">
      <w:pPr>
        <w:tabs>
          <w:tab w:val="left" w:pos="6840"/>
        </w:tabs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департаменту </w:t>
      </w:r>
      <w:r w:rsidR="00A27973" w:rsidRPr="00310D0E">
        <w:rPr>
          <w:color w:val="FFFFFF" w:themeColor="background1"/>
          <w:lang w:val="uk-UA"/>
        </w:rPr>
        <w:t>економічного</w:t>
      </w:r>
    </w:p>
    <w:p w:rsidR="00972B3D" w:rsidRPr="00310D0E" w:rsidRDefault="00A27973" w:rsidP="009D51C9">
      <w:pPr>
        <w:tabs>
          <w:tab w:val="left" w:pos="6379"/>
          <w:tab w:val="left" w:pos="6521"/>
          <w:tab w:val="left" w:pos="6840"/>
        </w:tabs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розвитку міської ради</w:t>
      </w:r>
      <w:r w:rsidR="009D51C9" w:rsidRPr="00310D0E">
        <w:rPr>
          <w:color w:val="FFFFFF" w:themeColor="background1"/>
          <w:lang w:val="uk-UA"/>
        </w:rPr>
        <w:t xml:space="preserve">                                                                     </w:t>
      </w:r>
      <w:r w:rsidR="00972B3D" w:rsidRPr="00310D0E">
        <w:rPr>
          <w:color w:val="FFFFFF" w:themeColor="background1"/>
          <w:lang w:val="uk-UA"/>
        </w:rPr>
        <w:t>Ольга ВІТЧЕНКО</w:t>
      </w:r>
    </w:p>
    <w:p w:rsidR="00972B3D" w:rsidRPr="00310D0E" w:rsidRDefault="00972B3D" w:rsidP="00972B3D">
      <w:pPr>
        <w:tabs>
          <w:tab w:val="left" w:pos="6840"/>
        </w:tabs>
        <w:rPr>
          <w:color w:val="FFFFFF" w:themeColor="background1"/>
          <w:lang w:val="uk-UA"/>
        </w:rPr>
      </w:pPr>
    </w:p>
    <w:p w:rsidR="00C66FAB" w:rsidRPr="00310D0E" w:rsidRDefault="00C66FAB" w:rsidP="00C66FAB">
      <w:pPr>
        <w:ind w:right="63"/>
        <w:rPr>
          <w:b/>
          <w:color w:val="FFFFFF" w:themeColor="background1"/>
          <w:lang w:val="uk-UA"/>
        </w:rPr>
      </w:pPr>
      <w:r w:rsidRPr="00310D0E">
        <w:rPr>
          <w:b/>
          <w:bCs/>
          <w:color w:val="FFFFFF" w:themeColor="background1"/>
          <w:lang w:val="uk-UA"/>
        </w:rPr>
        <w:t>Узгоджено:</w:t>
      </w:r>
      <w:r w:rsidRPr="00310D0E">
        <w:rPr>
          <w:b/>
          <w:bCs/>
          <w:color w:val="FFFFFF" w:themeColor="background1"/>
          <w:lang w:val="uk-UA"/>
        </w:rPr>
        <w:tab/>
      </w:r>
    </w:p>
    <w:p w:rsidR="00C66FAB" w:rsidRPr="00310D0E" w:rsidRDefault="009D51C9" w:rsidP="00C66FAB">
      <w:pPr>
        <w:pStyle w:val="a5"/>
        <w:jc w:val="left"/>
        <w:rPr>
          <w:color w:val="FFFFFF" w:themeColor="background1"/>
          <w:sz w:val="24"/>
        </w:rPr>
      </w:pPr>
      <w:r w:rsidRPr="00310D0E">
        <w:rPr>
          <w:color w:val="FFFFFF" w:themeColor="background1"/>
          <w:sz w:val="24"/>
        </w:rPr>
        <w:t>В.о. п</w:t>
      </w:r>
      <w:r w:rsidR="00C66FAB" w:rsidRPr="00310D0E">
        <w:rPr>
          <w:color w:val="FFFFFF" w:themeColor="background1"/>
          <w:sz w:val="24"/>
        </w:rPr>
        <w:t>ерш</w:t>
      </w:r>
      <w:r w:rsidRPr="00310D0E">
        <w:rPr>
          <w:color w:val="FFFFFF" w:themeColor="background1"/>
          <w:sz w:val="24"/>
        </w:rPr>
        <w:t>ого</w:t>
      </w:r>
      <w:r w:rsidR="00C66FAB" w:rsidRPr="00310D0E">
        <w:rPr>
          <w:color w:val="FFFFFF" w:themeColor="background1"/>
          <w:sz w:val="24"/>
        </w:rPr>
        <w:t xml:space="preserve"> заступник</w:t>
      </w:r>
      <w:r w:rsidRPr="00310D0E">
        <w:rPr>
          <w:color w:val="FFFFFF" w:themeColor="background1"/>
          <w:sz w:val="24"/>
        </w:rPr>
        <w:t>а</w:t>
      </w:r>
      <w:r w:rsidR="00C66FAB" w:rsidRPr="00310D0E">
        <w:rPr>
          <w:color w:val="FFFFFF" w:themeColor="background1"/>
          <w:sz w:val="24"/>
        </w:rPr>
        <w:t xml:space="preserve"> </w:t>
      </w:r>
    </w:p>
    <w:p w:rsidR="00C66FAB" w:rsidRPr="00310D0E" w:rsidRDefault="00C66FAB" w:rsidP="00C66FAB">
      <w:pPr>
        <w:pStyle w:val="a5"/>
        <w:jc w:val="left"/>
        <w:rPr>
          <w:color w:val="FFFFFF" w:themeColor="background1"/>
          <w:sz w:val="24"/>
        </w:rPr>
      </w:pPr>
      <w:r w:rsidRPr="00310D0E">
        <w:rPr>
          <w:color w:val="FFFFFF" w:themeColor="background1"/>
          <w:sz w:val="24"/>
        </w:rPr>
        <w:t>міського голови</w:t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="009D51C9" w:rsidRPr="00310D0E">
        <w:rPr>
          <w:color w:val="FFFFFF" w:themeColor="background1"/>
          <w:sz w:val="24"/>
          <w:szCs w:val="24"/>
        </w:rPr>
        <w:t>Олександр ОЛЬШАНСЬКИЙ</w:t>
      </w:r>
    </w:p>
    <w:p w:rsidR="00972B3D" w:rsidRPr="00310D0E" w:rsidRDefault="00C66FAB" w:rsidP="00C66FAB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Секретар ради</w:t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72B3D" w:rsidRPr="00310D0E">
        <w:rPr>
          <w:color w:val="FFFFFF" w:themeColor="background1"/>
          <w:lang w:val="uk-UA"/>
        </w:rPr>
        <w:t>Вячеслав ТКАЧУК</w:t>
      </w:r>
    </w:p>
    <w:p w:rsidR="00C66FAB" w:rsidRPr="00310D0E" w:rsidRDefault="00C66FAB" w:rsidP="00C66FAB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ab/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Начальник відділу з юридичних 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72B3D" w:rsidRPr="00310D0E">
        <w:rPr>
          <w:color w:val="FFFFFF" w:themeColor="background1"/>
          <w:lang w:val="uk-UA"/>
        </w:rPr>
        <w:t>Всеволод РУДЬ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та правових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 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Голова п</w:t>
      </w:r>
      <w:r w:rsidR="00A27973" w:rsidRPr="00310D0E">
        <w:rPr>
          <w:color w:val="FFFFFF" w:themeColor="background1"/>
          <w:lang w:val="uk-UA"/>
        </w:rPr>
        <w:t>остійної комісії</w:t>
      </w:r>
      <w:r w:rsidRPr="00310D0E">
        <w:rPr>
          <w:color w:val="FFFFFF" w:themeColor="background1"/>
          <w:lang w:val="uk-UA"/>
        </w:rPr>
        <w:t xml:space="preserve">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промисловості, транспорту та зв’язку,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економічного розвитку, інвестицій,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міжнародного співробітництва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A27973" w:rsidRPr="00310D0E">
        <w:rPr>
          <w:color w:val="FFFFFF" w:themeColor="background1"/>
          <w:lang w:val="uk-UA"/>
        </w:rPr>
        <w:t>Віталій БАЛКОВСЬКИЙ</w:t>
      </w:r>
    </w:p>
    <w:p w:rsidR="00C66FAB" w:rsidRPr="00310D0E" w:rsidRDefault="00C66FAB" w:rsidP="00C66FAB">
      <w:pPr>
        <w:rPr>
          <w:b/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економічного розвитку</w:t>
      </w:r>
      <w:r w:rsidRPr="00310D0E">
        <w:rPr>
          <w:color w:val="FFFFFF" w:themeColor="background1"/>
          <w:lang w:val="uk-UA"/>
        </w:rPr>
        <w:t xml:space="preserve">, </w:t>
      </w:r>
      <w:r w:rsidRPr="00310D0E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310D0E">
        <w:rPr>
          <w:b/>
          <w:color w:val="FFFFFF" w:themeColor="background1"/>
          <w:lang w:val="uk-UA"/>
        </w:rPr>
        <w:t>.</w:t>
      </w:r>
    </w:p>
    <w:p w:rsidR="00C66FAB" w:rsidRPr="00310D0E" w:rsidRDefault="00C66FAB" w:rsidP="00C66FAB">
      <w:pPr>
        <w:ind w:right="-187"/>
        <w:rPr>
          <w:b/>
          <w:color w:val="FFFFFF" w:themeColor="background1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в м. СЄВЄРОДОНЕЦЬКУ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9D51C9">
      <w:pPr>
        <w:pStyle w:val="a9"/>
        <w:tabs>
          <w:tab w:val="left" w:pos="-426"/>
          <w:tab w:val="left" w:pos="4820"/>
        </w:tabs>
        <w:ind w:hanging="284"/>
        <w:jc w:val="center"/>
        <w:rPr>
          <w:b/>
          <w:bCs/>
          <w:spacing w:val="120"/>
          <w:sz w:val="28"/>
          <w:szCs w:val="28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</w:t>
      </w:r>
      <w:r w:rsidR="00972B3D">
        <w:rPr>
          <w:rFonts w:ascii="Times New Roman" w:hAnsi="Times New Roman"/>
          <w:sz w:val="24"/>
          <w:szCs w:val="24"/>
          <w:lang w:val="uk-UA"/>
        </w:rPr>
        <w:t xml:space="preserve">19 </w:t>
      </w:r>
      <w:r w:rsidRPr="00715625">
        <w:rPr>
          <w:rFonts w:ascii="Times New Roman" w:hAnsi="Times New Roman"/>
          <w:sz w:val="24"/>
          <w:szCs w:val="24"/>
          <w:lang w:val="uk-UA"/>
        </w:rPr>
        <w:t>рік</w:t>
      </w: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F17A73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F17A73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</w:t>
        </w:r>
        <w:r w:rsidR="00972B3D">
          <w:rPr>
            <w:rStyle w:val="ad"/>
            <w:lang w:val="uk-UA"/>
          </w:rPr>
          <w:t>20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F17A73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F17A73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м. Сєвєродонецьку на 20</w:t>
        </w:r>
        <w:r w:rsidR="00972B3D">
          <w:rPr>
            <w:rStyle w:val="ad"/>
            <w:lang w:val="uk-UA"/>
          </w:rPr>
          <w:t xml:space="preserve">20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F17A73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66FAB" w:rsidRDefault="00F17A73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</w:t>
      </w:r>
      <w:r w:rsidR="004354DB">
        <w:rPr>
          <w:lang w:val="uk-UA" w:eastAsia="uk-UA"/>
        </w:rPr>
        <w:t>20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</w:t>
      </w:r>
      <w:r w:rsidR="00E71C60">
        <w:rPr>
          <w:rStyle w:val="af4"/>
          <w:b w:val="0"/>
          <w:color w:val="000000"/>
          <w:lang w:val="uk-UA"/>
        </w:rPr>
        <w:t>20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</w:t>
      </w:r>
      <w:r w:rsidR="009B2009">
        <w:t>20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603BC4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E71C60">
              <w:rPr>
                <w:lang w:val="uk-UA"/>
              </w:rPr>
              <w:t>04 верес</w:t>
            </w:r>
            <w:r w:rsidR="00603BC4">
              <w:rPr>
                <w:lang w:val="uk-UA"/>
              </w:rPr>
              <w:t>н</w:t>
            </w:r>
            <w:r w:rsidR="00E71C60">
              <w:rPr>
                <w:lang w:val="uk-UA"/>
              </w:rPr>
              <w:t>я</w:t>
            </w:r>
            <w:r w:rsidR="00B7065E" w:rsidRPr="00B7065E">
              <w:rPr>
                <w:lang w:val="uk-UA"/>
              </w:rPr>
              <w:t xml:space="preserve"> </w:t>
            </w:r>
            <w:r w:rsidRPr="00B7065E">
              <w:rPr>
                <w:lang w:val="uk-UA"/>
              </w:rPr>
              <w:t xml:space="preserve"> 201</w:t>
            </w:r>
            <w:r w:rsidR="00E71C60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р. № </w:t>
            </w:r>
            <w:r w:rsidR="00E71C60">
              <w:rPr>
                <w:lang w:val="uk-UA"/>
              </w:rPr>
              <w:t>335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</w:t>
            </w:r>
            <w:r w:rsidR="00E71C60">
              <w:rPr>
                <w:lang w:val="uk-UA"/>
              </w:rPr>
              <w:t>20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603BC4" w:rsidP="00A01BBA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зайнятості</w:t>
            </w:r>
            <w:r w:rsidR="00C66FAB"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376EBF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E71C60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E71C60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2243B7" w:rsidP="009527C1">
            <w:pPr>
              <w:jc w:val="center"/>
              <w:rPr>
                <w:lang w:val="uk-UA"/>
              </w:rPr>
            </w:pPr>
            <w:r w:rsidRPr="00B972D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</w:t>
      </w:r>
      <w:r w:rsidR="00E71C60">
        <w:rPr>
          <w:lang w:val="uk-UA"/>
        </w:rPr>
        <w:t>9</w:t>
      </w:r>
      <w:r w:rsidRPr="00D7747D">
        <w:rPr>
          <w:lang w:val="uk-UA"/>
        </w:rPr>
        <w:t>.201</w:t>
      </w:r>
      <w:r w:rsidR="00E71C60"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1B1299">
        <w:rPr>
          <w:lang w:val="uk-UA"/>
        </w:rPr>
        <w:t>5756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</w:t>
      </w:r>
      <w:r w:rsidR="00E71C60">
        <w:rPr>
          <w:lang w:val="uk-UA"/>
        </w:rPr>
        <w:t>4</w:t>
      </w:r>
      <w:r w:rsidRPr="00D7747D">
        <w:rPr>
          <w:lang w:val="uk-UA"/>
        </w:rPr>
        <w:t xml:space="preserve"> од</w:t>
      </w:r>
      <w:r w:rsidR="007F3A37">
        <w:rPr>
          <w:lang w:val="uk-UA"/>
        </w:rPr>
        <w:t>.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E71C60">
        <w:rPr>
          <w:lang w:val="uk-UA"/>
        </w:rPr>
        <w:t xml:space="preserve">1157 </w:t>
      </w:r>
      <w:r w:rsidRPr="00D7747D">
        <w:rPr>
          <w:lang w:val="uk-UA"/>
        </w:rPr>
        <w:t>од.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E71C60">
        <w:rPr>
          <w:lang w:val="uk-UA"/>
        </w:rPr>
        <w:t>4535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 w:rsidRPr="00770EDA">
        <w:rPr>
          <w:noProof/>
          <w:lang w:val="uk-UA"/>
        </w:rPr>
        <w:t>Д</w:t>
      </w:r>
      <w:r w:rsidR="00C66FAB" w:rsidRPr="00770EDA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 w:rsidR="00E71C60" w:rsidRPr="00770EDA">
        <w:rPr>
          <w:noProof/>
          <w:lang w:val="uk-UA"/>
        </w:rPr>
        <w:t>9</w:t>
      </w:r>
      <w:r w:rsidR="00C66FAB" w:rsidRPr="00770EDA">
        <w:rPr>
          <w:noProof/>
          <w:lang w:val="uk-UA"/>
        </w:rPr>
        <w:t xml:space="preserve">р. по </w:t>
      </w:r>
      <w:r w:rsidR="00E71C60" w:rsidRPr="00770EDA">
        <w:rPr>
          <w:noProof/>
          <w:lang w:val="uk-UA"/>
        </w:rPr>
        <w:t>01.09.2019</w:t>
      </w:r>
      <w:r w:rsidRPr="00770EDA">
        <w:rPr>
          <w:noProof/>
          <w:lang w:val="uk-UA"/>
        </w:rPr>
        <w:t>р</w:t>
      </w:r>
      <w:r w:rsidR="00C66FAB" w:rsidRPr="00770EDA">
        <w:rPr>
          <w:noProof/>
          <w:lang w:val="uk-UA"/>
        </w:rPr>
        <w:t xml:space="preserve">. реєстраторами надано </w:t>
      </w:r>
      <w:r w:rsidR="00770EDA">
        <w:rPr>
          <w:noProof/>
          <w:lang w:val="uk-UA"/>
        </w:rPr>
        <w:t xml:space="preserve">3704 </w:t>
      </w:r>
      <w:r w:rsidR="00C66FAB" w:rsidRPr="00770EDA">
        <w:rPr>
          <w:noProof/>
          <w:lang w:val="uk-UA"/>
        </w:rPr>
        <w:t xml:space="preserve">адміністративних послуг, з них зареєстровано </w:t>
      </w:r>
      <w:r w:rsidR="008F5FA2">
        <w:rPr>
          <w:noProof/>
          <w:lang w:val="uk-UA"/>
        </w:rPr>
        <w:t>201</w:t>
      </w:r>
      <w:r w:rsidR="006567AE" w:rsidRPr="00770EDA">
        <w:rPr>
          <w:noProof/>
          <w:lang w:val="uk-UA"/>
        </w:rPr>
        <w:t xml:space="preserve"> </w:t>
      </w:r>
      <w:r w:rsidR="00C66FAB" w:rsidRPr="00770EDA">
        <w:rPr>
          <w:noProof/>
          <w:lang w:val="uk-UA"/>
        </w:rPr>
        <w:t>юридичн</w:t>
      </w:r>
      <w:r w:rsidR="006567AE" w:rsidRPr="00770EDA">
        <w:rPr>
          <w:noProof/>
          <w:lang w:val="uk-UA"/>
        </w:rPr>
        <w:t>і</w:t>
      </w:r>
      <w:r w:rsidR="00C66FAB" w:rsidRPr="00770EDA">
        <w:rPr>
          <w:noProof/>
          <w:lang w:val="uk-UA"/>
        </w:rPr>
        <w:t xml:space="preserve"> особ</w:t>
      </w:r>
      <w:r w:rsidR="006567AE" w:rsidRPr="00770EDA">
        <w:rPr>
          <w:noProof/>
          <w:lang w:val="uk-UA"/>
        </w:rPr>
        <w:t>и</w:t>
      </w:r>
      <w:r w:rsidR="00C66FAB" w:rsidRPr="00770EDA">
        <w:rPr>
          <w:noProof/>
          <w:lang w:val="uk-UA"/>
        </w:rPr>
        <w:t xml:space="preserve"> та </w:t>
      </w:r>
      <w:r w:rsidR="008F5FA2">
        <w:rPr>
          <w:noProof/>
          <w:lang w:val="uk-UA"/>
        </w:rPr>
        <w:t>627</w:t>
      </w:r>
      <w:r w:rsidR="00C66FAB" w:rsidRPr="00770EDA">
        <w:rPr>
          <w:noProof/>
          <w:lang w:val="uk-UA"/>
        </w:rPr>
        <w:t xml:space="preserve"> фізичні особи підприємця; припинено: </w:t>
      </w:r>
      <w:r w:rsidR="008F5FA2">
        <w:rPr>
          <w:noProof/>
          <w:lang w:val="uk-UA"/>
        </w:rPr>
        <w:t xml:space="preserve">36 </w:t>
      </w:r>
      <w:r w:rsidR="00C66FAB" w:rsidRPr="00770EDA">
        <w:rPr>
          <w:noProof/>
          <w:lang w:val="uk-UA"/>
        </w:rPr>
        <w:t xml:space="preserve">юридичні особи та </w:t>
      </w:r>
      <w:r w:rsidR="008F5FA2">
        <w:rPr>
          <w:noProof/>
          <w:lang w:val="uk-UA"/>
        </w:rPr>
        <w:t>634</w:t>
      </w:r>
      <w:r w:rsidR="00C66FAB" w:rsidRPr="00770EDA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E71C60">
        <w:rPr>
          <w:rFonts w:ascii="Times New Roman" w:hAnsi="Times New Roman"/>
          <w:sz w:val="24"/>
          <w:szCs w:val="24"/>
          <w:lang w:val="uk-UA"/>
        </w:rPr>
        <w:t xml:space="preserve">за результатами 9 місяців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71C60">
        <w:rPr>
          <w:rFonts w:ascii="Times New Roman" w:hAnsi="Times New Roman"/>
          <w:sz w:val="24"/>
          <w:szCs w:val="24"/>
          <w:lang w:val="uk-UA"/>
        </w:rPr>
        <w:t>9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193</w:t>
      </w:r>
      <w:r w:rsidR="00E71C60">
        <w:rPr>
          <w:rFonts w:ascii="Times New Roman" w:hAnsi="Times New Roman"/>
          <w:sz w:val="24"/>
          <w:szCs w:val="24"/>
          <w:lang w:val="uk-UA"/>
        </w:rPr>
        <w:t>55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</w:t>
      </w:r>
      <w:r w:rsidR="0037702A">
        <w:rPr>
          <w:lang w:val="uk-UA"/>
        </w:rPr>
        <w:t>388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</w:t>
      </w:r>
      <w:r w:rsidR="0037702A">
        <w:rPr>
          <w:lang w:val="uk-UA"/>
        </w:rPr>
        <w:t>378</w:t>
      </w:r>
      <w:r w:rsidR="006567AE">
        <w:rPr>
          <w:lang w:val="uk-UA"/>
        </w:rPr>
        <w:t xml:space="preserve">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>
        <w:rPr>
          <w:lang w:val="uk-UA"/>
        </w:rPr>
        <w:t xml:space="preserve"> та послугами</w:t>
      </w:r>
      <w:r w:rsidRPr="00CE55E6">
        <w:rPr>
          <w:lang w:val="uk-UA"/>
        </w:rPr>
        <w:t>.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Станом на </w:t>
      </w:r>
      <w:r w:rsidR="006567AE" w:rsidRPr="008F5FA2">
        <w:rPr>
          <w:lang w:val="uk-UA"/>
        </w:rPr>
        <w:t>01.0</w:t>
      </w:r>
      <w:r w:rsidR="0037702A" w:rsidRPr="008F5FA2">
        <w:rPr>
          <w:lang w:val="uk-UA"/>
        </w:rPr>
        <w:t>9</w:t>
      </w:r>
      <w:r w:rsidR="006567AE" w:rsidRPr="008F5FA2">
        <w:rPr>
          <w:lang w:val="uk-UA"/>
        </w:rPr>
        <w:t>.201</w:t>
      </w:r>
      <w:r w:rsidR="00EF3797" w:rsidRPr="008F5FA2">
        <w:rPr>
          <w:lang w:val="uk-UA"/>
        </w:rPr>
        <w:t>9</w:t>
      </w:r>
      <w:r w:rsidRPr="008F5FA2">
        <w:rPr>
          <w:lang w:val="uk-UA"/>
        </w:rPr>
        <w:t xml:space="preserve"> р</w:t>
      </w:r>
      <w:r w:rsidR="006567AE" w:rsidRPr="008F5FA2">
        <w:rPr>
          <w:lang w:val="uk-UA"/>
        </w:rPr>
        <w:t>оку</w:t>
      </w:r>
      <w:r w:rsidRPr="008F5FA2">
        <w:rPr>
          <w:lang w:val="uk-UA"/>
        </w:rPr>
        <w:t xml:space="preserve"> торгова мережа міста складала</w:t>
      </w:r>
      <w:r w:rsidR="007F3A37">
        <w:rPr>
          <w:lang w:val="uk-UA"/>
        </w:rPr>
        <w:t>ся</w:t>
      </w:r>
      <w:r w:rsidRPr="008F5FA2">
        <w:rPr>
          <w:lang w:val="uk-UA"/>
        </w:rPr>
        <w:t xml:space="preserve"> з: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магазинів - </w:t>
      </w:r>
      <w:r w:rsidR="002019DC" w:rsidRPr="008F5FA2">
        <w:rPr>
          <w:lang w:val="uk-UA"/>
        </w:rPr>
        <w:t>393</w:t>
      </w:r>
      <w:r w:rsidRPr="008F5FA2">
        <w:rPr>
          <w:lang w:val="uk-UA"/>
        </w:rPr>
        <w:t xml:space="preserve"> одиниць ( в т.ч. </w:t>
      </w:r>
      <w:r w:rsidR="002A513B" w:rsidRPr="008F5FA2">
        <w:rPr>
          <w:lang w:val="uk-UA"/>
        </w:rPr>
        <w:t>5</w:t>
      </w:r>
      <w:r w:rsidRPr="008F5FA2">
        <w:rPr>
          <w:lang w:val="uk-UA"/>
        </w:rPr>
        <w:t xml:space="preserve"> супермаркет</w:t>
      </w:r>
      <w:r w:rsidR="007F3A37">
        <w:rPr>
          <w:lang w:val="uk-UA"/>
        </w:rPr>
        <w:t>ів</w:t>
      </w:r>
      <w:r w:rsidRPr="008F5FA2">
        <w:rPr>
          <w:lang w:val="uk-UA"/>
        </w:rPr>
        <w:t>);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кіосків та павільйонів - 174 одиниці;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8F5FA2">
        <w:rPr>
          <w:lang w:val="uk-UA"/>
        </w:rPr>
        <w:t>- підприємств оптової торгівлі - 69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ресторанного господарства - 16</w:t>
      </w:r>
      <w:r w:rsidR="002019DC" w:rsidRPr="008F5FA2">
        <w:rPr>
          <w:lang w:val="uk-UA"/>
        </w:rPr>
        <w:t>4</w:t>
      </w:r>
      <w:r w:rsidRPr="008F5FA2">
        <w:rPr>
          <w:lang w:val="uk-UA"/>
        </w:rPr>
        <w:t xml:space="preserve"> одиниця;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побутового обслуговування - 1</w:t>
      </w:r>
      <w:r w:rsidR="002019DC" w:rsidRPr="008F5FA2">
        <w:rPr>
          <w:lang w:val="uk-UA"/>
        </w:rPr>
        <w:t>3</w:t>
      </w:r>
      <w:r w:rsidR="002A513B" w:rsidRPr="008F5FA2">
        <w:rPr>
          <w:lang w:val="uk-UA"/>
        </w:rPr>
        <w:t>2</w:t>
      </w:r>
      <w:r w:rsidRPr="008F5FA2">
        <w:rPr>
          <w:lang w:val="uk-UA"/>
        </w:rPr>
        <w:t xml:space="preserve">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АЗС , АГЗС - 16, в т.ч. АГЗП - 2  (АЗС + АГЗП) </w:t>
      </w:r>
      <w:r w:rsidR="007F3A37">
        <w:rPr>
          <w:lang w:val="uk-UA"/>
        </w:rPr>
        <w:t>–</w:t>
      </w:r>
      <w:r w:rsidRPr="008F5FA2">
        <w:rPr>
          <w:lang w:val="uk-UA"/>
        </w:rPr>
        <w:t xml:space="preserve"> 2</w:t>
      </w:r>
      <w:r w:rsidR="007F3A37">
        <w:rPr>
          <w:lang w:val="uk-UA"/>
        </w:rPr>
        <w:t xml:space="preserve"> одиниці</w:t>
      </w:r>
      <w:r w:rsidRPr="008F5FA2">
        <w:rPr>
          <w:lang w:val="uk-UA"/>
        </w:rPr>
        <w:t>.</w:t>
      </w:r>
    </w:p>
    <w:p w:rsidR="00C66FAB" w:rsidRPr="008F5FA2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 xml:space="preserve">У місті функціонує 5 ринків, з них: 1 - продовольчий,  3 – змішаних, 1- речовий.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>Загальна кількість торговельних місць на ринках - 5333.</w:t>
      </w:r>
      <w:r w:rsidRPr="00CE55E6">
        <w:rPr>
          <w:lang w:val="uk-UA"/>
        </w:rPr>
        <w:t xml:space="preserve">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Агенції </w:t>
            </w:r>
            <w:r w:rsidR="001B1299">
              <w:rPr>
                <w:sz w:val="22"/>
                <w:szCs w:val="22"/>
                <w:lang w:val="uk-UA"/>
              </w:rPr>
              <w:t xml:space="preserve">регіонального </w:t>
            </w:r>
            <w:r>
              <w:rPr>
                <w:sz w:val="22"/>
                <w:szCs w:val="22"/>
                <w:lang w:val="uk-UA"/>
              </w:rPr>
              <w:t xml:space="preserve">розвитку </w:t>
            </w:r>
            <w:r w:rsidR="001B1299" w:rsidRPr="001B1299">
              <w:rPr>
                <w:sz w:val="22"/>
                <w:szCs w:val="22"/>
                <w:lang w:val="uk-UA"/>
              </w:rPr>
              <w:t>Луганської області, Луганської обласної Агенції розвитку громад та регіону «Слобожанщина»</w:t>
            </w:r>
            <w:r w:rsidRPr="001B1299"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</w:t>
            </w:r>
            <w:r w:rsidR="007F3A37">
              <w:rPr>
                <w:sz w:val="22"/>
                <w:szCs w:val="22"/>
                <w:lang w:val="uk-UA"/>
              </w:rPr>
              <w:t xml:space="preserve">розмежування </w:t>
            </w:r>
            <w:r w:rsidRPr="00F12731">
              <w:rPr>
                <w:sz w:val="22"/>
                <w:szCs w:val="22"/>
                <w:lang w:val="uk-UA"/>
              </w:rPr>
              <w:t>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</w:t>
      </w:r>
      <w:r w:rsidR="0037702A">
        <w:rPr>
          <w:lang w:val="uk-UA"/>
        </w:rPr>
        <w:t>20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</w:t>
      </w:r>
      <w:r w:rsidR="0037702A">
        <w:rPr>
          <w:lang w:val="uk-UA"/>
        </w:rPr>
        <w:t>20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887A28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887A28">
        <w:rPr>
          <w:sz w:val="24"/>
          <w:szCs w:val="24"/>
        </w:rPr>
        <w:t>Вдосконалення колективно - договірного регулювання соціально-трудових відносин.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F17A73" w:rsidP="00C66FAB">
      <w:pPr>
        <w:rPr>
          <w:lang w:val="uk-UA"/>
        </w:rPr>
      </w:pPr>
      <w:r w:rsidRPr="00F17A73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20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F17A73" w:rsidP="00C66FAB">
      <w:pPr>
        <w:rPr>
          <w:lang w:val="uk-UA"/>
        </w:rPr>
      </w:pPr>
      <w:r w:rsidRPr="00F17A7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F17A73" w:rsidP="00C66FAB">
      <w:pPr>
        <w:rPr>
          <w:lang w:val="uk-UA"/>
        </w:rPr>
      </w:pPr>
      <w:r w:rsidRPr="00F17A73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F17A73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F17A73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F17A73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F17A73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F17A73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F17A73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F17A73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1B1299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F17A73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1B1299" w:rsidRPr="0043639D" w:rsidRDefault="001B1299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1B1299" w:rsidRPr="00597A90" w:rsidRDefault="001B1299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F17A73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F17A73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B1299" w:rsidRPr="00597A90" w:rsidRDefault="001B1299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132463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32463" w:rsidRPr="00132463">
        <w:rPr>
          <w:b/>
          <w:sz w:val="24"/>
          <w:szCs w:val="24"/>
        </w:rPr>
        <w:t>1036</w:t>
      </w:r>
      <w:r w:rsidRPr="00132463">
        <w:rPr>
          <w:b/>
          <w:sz w:val="24"/>
          <w:szCs w:val="24"/>
        </w:rPr>
        <w:t xml:space="preserve"> </w:t>
      </w:r>
      <w:r w:rsidRPr="00132463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132463" w:rsidRPr="00132463">
        <w:rPr>
          <w:color w:val="000000" w:themeColor="text1"/>
          <w:sz w:val="24"/>
          <w:szCs w:val="24"/>
          <w:shd w:val="clear" w:color="auto" w:fill="FFFFFF" w:themeFill="background1"/>
        </w:rPr>
        <w:t>786,4</w:t>
      </w:r>
      <w:r w:rsidRPr="00132463">
        <w:rPr>
          <w:sz w:val="24"/>
          <w:szCs w:val="24"/>
        </w:rPr>
        <w:t xml:space="preserve"> 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132463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37702A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</w:t>
            </w:r>
            <w:r w:rsidR="0037702A">
              <w:rPr>
                <w:b/>
                <w:sz w:val="22"/>
                <w:szCs w:val="22"/>
                <w:lang w:val="uk-UA"/>
              </w:rPr>
              <w:t>20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132463" w:rsidP="009253F9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786,4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243B7" w:rsidP="009527C1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30748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1036,</w:t>
            </w:r>
            <w:r w:rsidR="00132463" w:rsidRPr="00132463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lastRenderedPageBreak/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230748">
      <w:pPr>
        <w:pStyle w:val="1"/>
        <w:ind w:hanging="142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</w:t>
      </w:r>
      <w:bookmarkEnd w:id="19"/>
      <w:r w:rsidR="00230748"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72B3D">
          <w:footerReference w:type="even" r:id="rId8"/>
          <w:footerReference w:type="default" r:id="rId9"/>
          <w:footerReference w:type="first" r:id="rId10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</w:t>
      </w:r>
      <w:r w:rsidR="00DD061E">
        <w:t>20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323339">
        <w:trPr>
          <w:trHeight w:val="1828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230748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</w:t>
            </w:r>
            <w:r w:rsidR="00230748">
              <w:rPr>
                <w:rFonts w:ascii="Times New Roman" w:hAnsi="Times New Roman" w:cs="Times New Roman"/>
                <w:lang w:val="uk-UA"/>
              </w:rPr>
              <w:t>я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</w:t>
            </w:r>
            <w:r w:rsidR="00230748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323339">
        <w:trPr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323339">
        <w:trPr>
          <w:trHeight w:val="736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D208A1" w:rsidTr="009D51C9">
        <w:trPr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D51C9">
        <w:trPr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376EBF" w:rsidTr="009D51C9">
        <w:trPr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  <w:r w:rsidR="00230748">
              <w:rPr>
                <w:rFonts w:ascii="Times New Roman" w:hAnsi="Times New Roman" w:cs="Times New Roman"/>
                <w:lang w:val="uk-UA"/>
              </w:rPr>
              <w:t xml:space="preserve">та зв’язків з громадськістю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DD061E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9D51C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79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D208A1" w:rsidTr="009D51C9">
        <w:trPr>
          <w:trHeight w:val="84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2.2.2. Надання одноразової допомоги по безробіттю для </w:t>
            </w:r>
            <w:r w:rsidR="00D80593">
              <w:rPr>
                <w:rFonts w:ascii="Times New Roman" w:hAnsi="Times New Roman" w:cs="Times New Roman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 w:rsidRPr="00887A28">
              <w:rPr>
                <w:rFonts w:ascii="Times New Roman" w:hAnsi="Times New Roman" w:cs="Times New Roman"/>
                <w:lang w:val="uk-UA"/>
              </w:rPr>
              <w:t>р</w:t>
            </w:r>
            <w:r w:rsidRPr="00887A28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887A28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="00D80593"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Pr="00887A28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887A28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111E7E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B17EB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D51C9">
        <w:trPr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887A28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887A28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A658C3" w:rsidRPr="00887A28">
              <w:rPr>
                <w:rFonts w:ascii="Times New Roman" w:hAnsi="Times New Roman" w:cs="Times New Roman"/>
                <w:b/>
                <w:lang w:val="uk-UA"/>
              </w:rPr>
              <w:t>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323339">
        <w:trPr>
          <w:trHeight w:val="64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C66FAB" w:rsidRPr="00376EBF" w:rsidTr="00CB4B50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</w:t>
            </w:r>
            <w:r w:rsidR="00D80593">
              <w:rPr>
                <w:rFonts w:ascii="Times New Roman" w:hAnsi="Times New Roman" w:cs="Times New Roman"/>
                <w:lang w:val="uk-UA"/>
              </w:rPr>
              <w:t>,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конкурсів </w:t>
            </w:r>
            <w:r w:rsidR="00D80593">
              <w:rPr>
                <w:rFonts w:ascii="Times New Roman" w:hAnsi="Times New Roman" w:cs="Times New Roman"/>
                <w:lang w:val="uk-UA"/>
              </w:rPr>
              <w:t>та інших заходів , передбачених законодавчою базою України з питань приватизації, по відчуженню об’єктів  комунальної власності на користь суб’єктів підприємницької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Оптимізація частки комунального сектору економіки міста та зміни форми власності на об’єкти нерухомості шляхом передачі </w:t>
            </w:r>
            <w:r w:rsidR="0081768E">
              <w:rPr>
                <w:rFonts w:ascii="Times New Roman" w:hAnsi="Times New Roman" w:cs="Times New Roman"/>
                <w:lang w:val="uk-UA"/>
              </w:rPr>
              <w:t>їх за договорами куплі-продажу  у власність суб’єктів підприємницької діяльності</w:t>
            </w:r>
          </w:p>
        </w:tc>
      </w:tr>
      <w:tr w:rsidR="0081768E" w:rsidRPr="00376EBF" w:rsidTr="00CB4B50">
        <w:trPr>
          <w:trHeight w:val="363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81768E" w:rsidRDefault="0081768E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1768E">
              <w:rPr>
                <w:sz w:val="20"/>
                <w:szCs w:val="20"/>
                <w:lang w:val="uk-UA"/>
              </w:rPr>
              <w:t>3.1.2</w:t>
            </w:r>
            <w:r>
              <w:rPr>
                <w:sz w:val="20"/>
                <w:szCs w:val="20"/>
                <w:lang w:val="uk-UA"/>
              </w:rPr>
              <w:t>.Проведення конкурсів на право оренди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768E">
              <w:rPr>
                <w:rFonts w:ascii="Times New Roman" w:hAnsi="Times New Roman" w:cs="Times New Roman"/>
                <w:lang w:val="uk-UA"/>
              </w:rPr>
              <w:t>76,2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ефективності використання майна територіальної громади м. Сєвєродонецька, забезпечення реалізації права 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оренду, створення сприятливих умов для розвитку підприємництва в м. Сєвєродонецьку задоволення потреб територіальної громади м. Сєвєродонецька Луганської обл.., забезпечення надходжень від орендної плати до міського бюджету. </w:t>
            </w:r>
          </w:p>
        </w:tc>
      </w:tr>
      <w:tr w:rsidR="0081768E" w:rsidRPr="00D208A1" w:rsidTr="00CB4B50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</w:t>
            </w:r>
            <w:r w:rsidR="00222909">
              <w:rPr>
                <w:rFonts w:ascii="Times New Roman" w:hAnsi="Times New Roman" w:cs="Times New Roman"/>
                <w:lang w:val="uk-UA"/>
              </w:rPr>
              <w:t xml:space="preserve">сайт міської ради та групах Фейсбук з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питань: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22290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81768E" w:rsidRPr="00D208A1" w:rsidTr="00323339">
        <w:trPr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81768E" w:rsidRPr="00D208A1" w:rsidRDefault="000107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суб’єкти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EC560A" w:rsidRDefault="008F769A" w:rsidP="00222909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371,4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81768E" w:rsidRPr="00D208A1" w:rsidRDefault="0081768E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основам </w:t>
            </w: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4.1.1. Проведення щоквартальних семінарів з питань: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81768E" w:rsidRPr="00D208A1" w:rsidRDefault="00230748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768E" w:rsidRPr="00D208A1">
              <w:rPr>
                <w:rFonts w:ascii="Times New Roman" w:hAnsi="Times New Roman" w:cs="Times New Roman"/>
                <w:lang w:val="uk-UA"/>
              </w:rPr>
              <w:t>орендно-майнових відносин;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230748" w:rsidRDefault="00230748" w:rsidP="00230748">
            <w:pPr>
              <w:pStyle w:val="1"/>
              <w:spacing w:after="0" w:line="240" w:lineRule="auto"/>
              <w:rPr>
                <w:b w:val="0"/>
                <w:sz w:val="20"/>
              </w:rPr>
            </w:pPr>
            <w:r w:rsidRPr="00230748">
              <w:rPr>
                <w:b w:val="0"/>
                <w:sz w:val="20"/>
              </w:rPr>
              <w:t>Сєвєродонецьке управління Головного управління ДФС у Луганській області</w:t>
            </w:r>
            <w:r>
              <w:rPr>
                <w:b w:val="0"/>
                <w:sz w:val="20"/>
              </w:rPr>
              <w:t>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</w:t>
            </w:r>
            <w:r w:rsidR="00010726">
              <w:rPr>
                <w:rFonts w:ascii="Times New Roman" w:hAnsi="Times New Roman" w:cs="Times New Roman"/>
                <w:lang w:val="uk-UA"/>
              </w:rPr>
              <w:t>свій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бізнес" та </w:t>
            </w:r>
            <w:r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321647" w:rsidTr="00323339">
        <w:trPr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 або « Основи бізнес планування»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10726">
              <w:rPr>
                <w:rFonts w:ascii="Times New Roman" w:hAnsi="Times New Roman" w:cs="Times New Roman"/>
                <w:lang w:val="uk-UA"/>
              </w:rPr>
              <w:t>інформаційно-просвітнецьких заходів з учнями 10-11-х класів щодо можливостей започаткування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1036,4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1768E" w:rsidRPr="00B972D7" w:rsidRDefault="0081768E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786,4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Pr="005A7AB5" w:rsidRDefault="00C66FAB" w:rsidP="00222909">
      <w:pPr>
        <w:spacing w:before="120"/>
        <w:ind w:right="-34" w:firstLine="708"/>
        <w:rPr>
          <w:i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970AD" w:rsidRDefault="00C66FAB" w:rsidP="0001072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</w:t>
            </w:r>
            <w:r w:rsidR="00010726"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B972D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  <w:p w:rsidR="00230748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lastRenderedPageBreak/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5E349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231C1C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1C1C">
              <w:rPr>
                <w:bCs/>
                <w:color w:val="000000"/>
                <w:sz w:val="22"/>
                <w:szCs w:val="22"/>
                <w:lang w:val="uk-UA"/>
              </w:rPr>
              <w:t xml:space="preserve">Виготовлення документації необхідної для передачі майна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246,4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Утримання офіційного сайту міської ради, проведення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125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</w:t>
            </w:r>
            <w:r w:rsidR="00A33B3E">
              <w:rPr>
                <w:bCs/>
                <w:color w:val="000000"/>
                <w:sz w:val="22"/>
                <w:szCs w:val="22"/>
                <w:lang w:val="uk-UA"/>
              </w:rPr>
              <w:t>риємницької діяльності у консалтинговому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 xml:space="preserve">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B03D8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18E0" w:rsidRDefault="00222909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C66FAB" w:rsidRDefault="009D51C9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Вячеслав ТКАЧУК</w:t>
      </w:r>
    </w:p>
    <w:sectPr w:rsidR="00C66FAB" w:rsidSect="00C850F1">
      <w:pgSz w:w="16838" w:h="11906" w:orient="landscape"/>
      <w:pgMar w:top="426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49" w:rsidRDefault="00064C49" w:rsidP="00C66FAB">
      <w:r>
        <w:separator/>
      </w:r>
    </w:p>
  </w:endnote>
  <w:endnote w:type="continuationSeparator" w:id="1">
    <w:p w:rsidR="00064C49" w:rsidRDefault="00064C49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F17A73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B129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1299" w:rsidRDefault="001B1299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F17A73">
    <w:pPr>
      <w:pStyle w:val="af"/>
      <w:jc w:val="right"/>
    </w:pPr>
    <w:fldSimple w:instr=" PAGE   \* MERGEFORMAT ">
      <w:r w:rsidR="004255AD">
        <w:rPr>
          <w:noProof/>
        </w:rPr>
        <w:t>7</w:t>
      </w:r>
    </w:fldSimple>
  </w:p>
  <w:p w:rsidR="001B1299" w:rsidRDefault="001B12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Pr="006A627B" w:rsidRDefault="00F17A73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1B1299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4255AD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1B1299" w:rsidRDefault="001B12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49" w:rsidRDefault="00064C49" w:rsidP="00C66FAB">
      <w:r>
        <w:separator/>
      </w:r>
    </w:p>
  </w:footnote>
  <w:footnote w:type="continuationSeparator" w:id="1">
    <w:p w:rsidR="00064C49" w:rsidRDefault="00064C49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43E85"/>
    <w:rsid w:val="00054F3E"/>
    <w:rsid w:val="00064C49"/>
    <w:rsid w:val="000B404F"/>
    <w:rsid w:val="000B6EEC"/>
    <w:rsid w:val="00132463"/>
    <w:rsid w:val="001816F3"/>
    <w:rsid w:val="00192EB1"/>
    <w:rsid w:val="001B1299"/>
    <w:rsid w:val="001B4981"/>
    <w:rsid w:val="001D1576"/>
    <w:rsid w:val="002019DC"/>
    <w:rsid w:val="0021204E"/>
    <w:rsid w:val="00222909"/>
    <w:rsid w:val="002243B7"/>
    <w:rsid w:val="00230748"/>
    <w:rsid w:val="00231C1C"/>
    <w:rsid w:val="00251840"/>
    <w:rsid w:val="002669EC"/>
    <w:rsid w:val="002A513B"/>
    <w:rsid w:val="002B52AC"/>
    <w:rsid w:val="002D0254"/>
    <w:rsid w:val="002D7D8E"/>
    <w:rsid w:val="00310407"/>
    <w:rsid w:val="00310D0E"/>
    <w:rsid w:val="00311044"/>
    <w:rsid w:val="00323339"/>
    <w:rsid w:val="003521D0"/>
    <w:rsid w:val="00376EBF"/>
    <w:rsid w:val="0037702A"/>
    <w:rsid w:val="003D348F"/>
    <w:rsid w:val="003E2B78"/>
    <w:rsid w:val="004101A4"/>
    <w:rsid w:val="004160A9"/>
    <w:rsid w:val="00417EB3"/>
    <w:rsid w:val="00421CD1"/>
    <w:rsid w:val="00424C2F"/>
    <w:rsid w:val="004255AD"/>
    <w:rsid w:val="004354DB"/>
    <w:rsid w:val="00460B3F"/>
    <w:rsid w:val="004D1231"/>
    <w:rsid w:val="004E1042"/>
    <w:rsid w:val="004E7817"/>
    <w:rsid w:val="004F62D7"/>
    <w:rsid w:val="0052513E"/>
    <w:rsid w:val="005325F7"/>
    <w:rsid w:val="005371EA"/>
    <w:rsid w:val="00574495"/>
    <w:rsid w:val="005960DC"/>
    <w:rsid w:val="005E3493"/>
    <w:rsid w:val="00603BC4"/>
    <w:rsid w:val="00653B3F"/>
    <w:rsid w:val="006567AE"/>
    <w:rsid w:val="00674C58"/>
    <w:rsid w:val="006878C8"/>
    <w:rsid w:val="006D35B5"/>
    <w:rsid w:val="006D50BF"/>
    <w:rsid w:val="006F4C2A"/>
    <w:rsid w:val="0070320C"/>
    <w:rsid w:val="007111FE"/>
    <w:rsid w:val="00732C12"/>
    <w:rsid w:val="00743820"/>
    <w:rsid w:val="0074765F"/>
    <w:rsid w:val="00770EDA"/>
    <w:rsid w:val="00787EB7"/>
    <w:rsid w:val="007A2558"/>
    <w:rsid w:val="007B136E"/>
    <w:rsid w:val="007C48DC"/>
    <w:rsid w:val="007D5AAD"/>
    <w:rsid w:val="007D5AAE"/>
    <w:rsid w:val="007F3A37"/>
    <w:rsid w:val="0081768E"/>
    <w:rsid w:val="00887A28"/>
    <w:rsid w:val="00895303"/>
    <w:rsid w:val="008A0748"/>
    <w:rsid w:val="008C70BD"/>
    <w:rsid w:val="008D21F4"/>
    <w:rsid w:val="008D2DFA"/>
    <w:rsid w:val="008F5FA2"/>
    <w:rsid w:val="008F769A"/>
    <w:rsid w:val="0090472D"/>
    <w:rsid w:val="009110D3"/>
    <w:rsid w:val="009114D2"/>
    <w:rsid w:val="009253F9"/>
    <w:rsid w:val="009527C1"/>
    <w:rsid w:val="009678FD"/>
    <w:rsid w:val="00972B3D"/>
    <w:rsid w:val="009827BB"/>
    <w:rsid w:val="009B2009"/>
    <w:rsid w:val="009D51C9"/>
    <w:rsid w:val="009D7970"/>
    <w:rsid w:val="009E2478"/>
    <w:rsid w:val="00A01BBA"/>
    <w:rsid w:val="00A0684A"/>
    <w:rsid w:val="00A1453F"/>
    <w:rsid w:val="00A27973"/>
    <w:rsid w:val="00A33B3E"/>
    <w:rsid w:val="00A363BC"/>
    <w:rsid w:val="00A62DA5"/>
    <w:rsid w:val="00A658C3"/>
    <w:rsid w:val="00A72A0D"/>
    <w:rsid w:val="00A74B91"/>
    <w:rsid w:val="00A82B98"/>
    <w:rsid w:val="00AA3CA5"/>
    <w:rsid w:val="00AD7D32"/>
    <w:rsid w:val="00B03D81"/>
    <w:rsid w:val="00B33D5E"/>
    <w:rsid w:val="00B7065E"/>
    <w:rsid w:val="00B83394"/>
    <w:rsid w:val="00B972D7"/>
    <w:rsid w:val="00BA74A0"/>
    <w:rsid w:val="00BE5C1C"/>
    <w:rsid w:val="00BF4BCD"/>
    <w:rsid w:val="00C05B86"/>
    <w:rsid w:val="00C30ECA"/>
    <w:rsid w:val="00C31ED0"/>
    <w:rsid w:val="00C43AF7"/>
    <w:rsid w:val="00C62156"/>
    <w:rsid w:val="00C66FAB"/>
    <w:rsid w:val="00C75D5A"/>
    <w:rsid w:val="00C84585"/>
    <w:rsid w:val="00C850F1"/>
    <w:rsid w:val="00C90405"/>
    <w:rsid w:val="00CB0C6A"/>
    <w:rsid w:val="00CB17EB"/>
    <w:rsid w:val="00CB4B50"/>
    <w:rsid w:val="00CC6439"/>
    <w:rsid w:val="00CD73D7"/>
    <w:rsid w:val="00D15557"/>
    <w:rsid w:val="00D15FED"/>
    <w:rsid w:val="00D70BAC"/>
    <w:rsid w:val="00D80593"/>
    <w:rsid w:val="00D87F8F"/>
    <w:rsid w:val="00DD061E"/>
    <w:rsid w:val="00DF64D7"/>
    <w:rsid w:val="00E54791"/>
    <w:rsid w:val="00E7046D"/>
    <w:rsid w:val="00E71C60"/>
    <w:rsid w:val="00E9219E"/>
    <w:rsid w:val="00EA13FD"/>
    <w:rsid w:val="00EB2AA7"/>
    <w:rsid w:val="00EC18E0"/>
    <w:rsid w:val="00EF3797"/>
    <w:rsid w:val="00F17A73"/>
    <w:rsid w:val="00F3183B"/>
    <w:rsid w:val="00F45713"/>
    <w:rsid w:val="00F77F87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7" type="connector" idref="#AutoShape 9"/>
        <o:r id="V:Rule8" type="connector" idref="#AutoShape 10"/>
        <o:r id="V:Rule9" type="connector" idref="#AutoShape 8"/>
        <o:r id="V:Rule10" type="connector" idref="#AutoShape 12"/>
        <o:r id="V:Rule11" type="connector" idref="#AutoShape 14"/>
        <o:r id="V:Rule1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18623</Words>
  <Characters>10616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userMak1344</cp:lastModifiedBy>
  <cp:revision>3</cp:revision>
  <cp:lastPrinted>2019-12-05T13:27:00Z</cp:lastPrinted>
  <dcterms:created xsi:type="dcterms:W3CDTF">2019-12-05T13:26:00Z</dcterms:created>
  <dcterms:modified xsi:type="dcterms:W3CDTF">2019-12-05T13:29:00Z</dcterms:modified>
</cp:coreProperties>
</file>