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7A" w:rsidRPr="00D739AD" w:rsidRDefault="00DA297A" w:rsidP="00DA297A">
      <w:pPr>
        <w:pStyle w:val="af"/>
      </w:pPr>
      <w:r w:rsidRPr="00D739AD">
        <w:t>СЄВЄРОДОНЕЦЬКА МІСЬКА РАДА</w:t>
      </w:r>
    </w:p>
    <w:p w:rsidR="00DA297A" w:rsidRPr="00D739AD" w:rsidRDefault="00DA297A" w:rsidP="00DA297A">
      <w:pPr>
        <w:pStyle w:val="af1"/>
      </w:pPr>
      <w:r w:rsidRPr="00D739AD">
        <w:t>ВИКОНАВЧИЙ  КОМІТЕТ</w:t>
      </w:r>
    </w:p>
    <w:p w:rsidR="00DA297A" w:rsidRPr="00D739AD" w:rsidRDefault="00DA297A" w:rsidP="00DA297A">
      <w:pPr>
        <w:pStyle w:val="2"/>
      </w:pPr>
      <w:r w:rsidRPr="00D739AD">
        <w:t xml:space="preserve">РІШЕННЯ </w:t>
      </w:r>
      <w:r w:rsidRPr="00D739AD">
        <w:sym w:font="Times New Roman" w:char="2116"/>
      </w:r>
      <w:r w:rsidRPr="00D739AD">
        <w:t xml:space="preserve"> </w:t>
      </w:r>
      <w:r w:rsidR="00846C95">
        <w:t>579</w:t>
      </w:r>
    </w:p>
    <w:p w:rsidR="00BF4439" w:rsidRPr="007731E4" w:rsidRDefault="00BF4439" w:rsidP="00BF4439">
      <w:pPr>
        <w:rPr>
          <w:b/>
          <w:sz w:val="24"/>
          <w:lang w:val="uk-UA"/>
        </w:rPr>
      </w:pPr>
      <w:r w:rsidRPr="007731E4">
        <w:rPr>
          <w:b/>
          <w:sz w:val="24"/>
          <w:lang w:val="uk-UA"/>
        </w:rPr>
        <w:t>«</w:t>
      </w:r>
      <w:r w:rsidR="00F539BE" w:rsidRPr="00F539BE">
        <w:rPr>
          <w:sz w:val="24"/>
          <w:lang w:val="uk-UA"/>
        </w:rPr>
        <w:t xml:space="preserve"> </w:t>
      </w:r>
      <w:r w:rsidR="00CE0175">
        <w:rPr>
          <w:sz w:val="24"/>
          <w:lang w:val="uk-UA"/>
        </w:rPr>
        <w:t>_</w:t>
      </w:r>
      <w:r w:rsidR="00846C95" w:rsidRPr="00846C95">
        <w:rPr>
          <w:sz w:val="24"/>
          <w:u w:val="single"/>
          <w:lang w:val="uk-UA"/>
        </w:rPr>
        <w:t>02</w:t>
      </w:r>
      <w:r w:rsidR="00CE0175">
        <w:rPr>
          <w:sz w:val="24"/>
          <w:lang w:val="uk-UA"/>
        </w:rPr>
        <w:t>_</w:t>
      </w:r>
      <w:r w:rsidR="00F539BE">
        <w:rPr>
          <w:sz w:val="24"/>
          <w:lang w:val="uk-UA"/>
        </w:rPr>
        <w:t xml:space="preserve"> </w:t>
      </w:r>
      <w:r w:rsidRPr="007731E4">
        <w:rPr>
          <w:b/>
          <w:sz w:val="24"/>
          <w:lang w:val="uk-UA"/>
        </w:rPr>
        <w:t xml:space="preserve">» </w:t>
      </w:r>
      <w:r w:rsidR="00CE0175">
        <w:rPr>
          <w:b/>
          <w:sz w:val="24"/>
          <w:lang w:val="uk-UA"/>
        </w:rPr>
        <w:t>груд</w:t>
      </w:r>
      <w:r w:rsidRPr="007731E4">
        <w:rPr>
          <w:b/>
          <w:sz w:val="24"/>
          <w:lang w:val="uk-UA"/>
        </w:rPr>
        <w:t>ня 2015 року</w:t>
      </w:r>
    </w:p>
    <w:p w:rsidR="00BF4439" w:rsidRPr="007731E4" w:rsidRDefault="00BF4439" w:rsidP="00BF4439">
      <w:pPr>
        <w:spacing w:line="360" w:lineRule="auto"/>
        <w:rPr>
          <w:b/>
          <w:sz w:val="24"/>
          <w:lang w:val="uk-UA"/>
        </w:rPr>
      </w:pPr>
      <w:r w:rsidRPr="007731E4">
        <w:rPr>
          <w:b/>
          <w:sz w:val="24"/>
          <w:lang w:val="uk-UA"/>
        </w:rPr>
        <w:t>м. Сєвєродонецьк</w:t>
      </w:r>
    </w:p>
    <w:p w:rsidR="00BF4439" w:rsidRPr="00BF4439" w:rsidRDefault="00CE0175" w:rsidP="000A55F3">
      <w:pPr>
        <w:ind w:right="4817"/>
        <w:jc w:val="both"/>
        <w:rPr>
          <w:bCs/>
          <w:iCs/>
          <w:sz w:val="24"/>
          <w:lang w:val="uk-UA"/>
        </w:rPr>
      </w:pPr>
      <w:r>
        <w:rPr>
          <w:bCs/>
          <w:iCs/>
          <w:sz w:val="24"/>
          <w:lang w:val="uk-UA"/>
        </w:rPr>
        <w:t xml:space="preserve">Про внесення змін </w:t>
      </w:r>
      <w:r w:rsidR="000A55F3">
        <w:rPr>
          <w:bCs/>
          <w:iCs/>
          <w:sz w:val="24"/>
          <w:lang w:val="uk-UA"/>
        </w:rPr>
        <w:t xml:space="preserve">і доповнень </w:t>
      </w:r>
      <w:r>
        <w:rPr>
          <w:bCs/>
          <w:iCs/>
          <w:sz w:val="24"/>
          <w:lang w:val="uk-UA"/>
        </w:rPr>
        <w:t>до рішення сесії від 30.07.2015 № 4631 «</w:t>
      </w:r>
      <w:r w:rsidR="00BF4439" w:rsidRPr="00BF4439">
        <w:rPr>
          <w:bCs/>
          <w:iCs/>
          <w:sz w:val="24"/>
          <w:lang w:val="uk-UA"/>
        </w:rPr>
        <w:t xml:space="preserve">Про затвердження </w:t>
      </w:r>
      <w:r w:rsidR="00BF4439" w:rsidRPr="00BF4439">
        <w:rPr>
          <w:sz w:val="24"/>
          <w:lang w:val="uk-UA" w:eastAsia="uk-UA"/>
        </w:rPr>
        <w:t xml:space="preserve">«Програми відшкодування </w:t>
      </w:r>
      <w:r w:rsidR="00BD7F26">
        <w:rPr>
          <w:sz w:val="24"/>
          <w:lang w:val="uk-UA" w:eastAsia="uk-UA"/>
        </w:rPr>
        <w:t xml:space="preserve">частини </w:t>
      </w:r>
      <w:r w:rsidR="00BF4439" w:rsidRPr="00BF4439">
        <w:rPr>
          <w:sz w:val="24"/>
          <w:lang w:val="uk-UA" w:eastAsia="uk-UA"/>
        </w:rPr>
        <w:t>відсоткових ставок за залученими кредитами на 201</w:t>
      </w:r>
      <w:r w:rsidR="00BF4439">
        <w:rPr>
          <w:sz w:val="24"/>
          <w:lang w:val="uk-UA" w:eastAsia="uk-UA"/>
        </w:rPr>
        <w:t>5</w:t>
      </w:r>
      <w:r w:rsidR="00BF4439" w:rsidRPr="00BF4439">
        <w:rPr>
          <w:sz w:val="24"/>
          <w:lang w:val="uk-UA" w:eastAsia="uk-UA"/>
        </w:rPr>
        <w:t>-201</w:t>
      </w:r>
      <w:r w:rsidR="00BF4439">
        <w:rPr>
          <w:sz w:val="24"/>
          <w:lang w:val="uk-UA" w:eastAsia="uk-UA"/>
        </w:rPr>
        <w:t>9</w:t>
      </w:r>
      <w:r w:rsidR="00BF4439" w:rsidRPr="00BF4439">
        <w:rPr>
          <w:sz w:val="24"/>
          <w:lang w:val="uk-UA" w:eastAsia="uk-UA"/>
        </w:rPr>
        <w:t xml:space="preserve"> роки»</w:t>
      </w:r>
      <w:r>
        <w:rPr>
          <w:sz w:val="24"/>
          <w:lang w:val="uk-UA" w:eastAsia="uk-UA"/>
        </w:rPr>
        <w:t>»</w:t>
      </w:r>
    </w:p>
    <w:p w:rsidR="00BF4439" w:rsidRPr="00BF4439" w:rsidRDefault="00BF4439" w:rsidP="00BF4439">
      <w:pPr>
        <w:ind w:right="4820"/>
        <w:rPr>
          <w:b/>
          <w:bCs/>
          <w:iCs/>
          <w:sz w:val="20"/>
          <w:szCs w:val="20"/>
          <w:lang w:val="uk-UA"/>
        </w:rPr>
      </w:pPr>
    </w:p>
    <w:p w:rsidR="00BF4439" w:rsidRPr="00BF4439" w:rsidRDefault="00BF4439" w:rsidP="00EB642A">
      <w:pPr>
        <w:ind w:firstLine="720"/>
        <w:jc w:val="both"/>
        <w:rPr>
          <w:sz w:val="24"/>
          <w:lang w:val="uk-UA"/>
        </w:rPr>
      </w:pPr>
      <w:r w:rsidRPr="00BF4439">
        <w:rPr>
          <w:sz w:val="24"/>
          <w:lang w:val="uk-UA"/>
        </w:rPr>
        <w:t>Керуючись п.22 ст.26</w:t>
      </w:r>
      <w:r w:rsidR="00EB642A">
        <w:rPr>
          <w:sz w:val="24"/>
          <w:lang w:val="uk-UA"/>
        </w:rPr>
        <w:t>, пунктом 3 ст. 30</w:t>
      </w:r>
      <w:r w:rsidRPr="00BF4439">
        <w:rPr>
          <w:sz w:val="24"/>
          <w:lang w:val="uk-UA"/>
        </w:rPr>
        <w:t xml:space="preserve"> Закону України «Про місцеве самоврядування в Україні» </w:t>
      </w:r>
      <w:r w:rsidR="00EB642A">
        <w:rPr>
          <w:sz w:val="24"/>
          <w:lang w:val="uk-UA"/>
        </w:rPr>
        <w:t xml:space="preserve">та </w:t>
      </w:r>
      <w:r w:rsidR="00CE0175">
        <w:rPr>
          <w:sz w:val="24"/>
          <w:lang w:val="uk-UA"/>
        </w:rPr>
        <w:t>постановою Кабінету Міністрів України від 17.10.2011 № 1056 «Деякі питання використання коштів у сфері енергоефективності та енергозбереження» із змінами і доповненнями, внесеними постановами Кабінету Міністрів України від 11.07.2012 № 615, від 14.11.2012 № 1043, від 24.07.2013 № 687, від 01.10.2014 № 491, від 08.04.2015 № 231 та від 12.08.2015 № 614</w:t>
      </w:r>
      <w:r w:rsidR="00D62EEC">
        <w:rPr>
          <w:sz w:val="24"/>
          <w:lang w:val="uk-UA"/>
        </w:rPr>
        <w:t>, згідно пункту 3 Порядку використання коштів, передбачених у державному бюджеті для здійснення заходів щодо енергоефективного використання енергетичних ресурсів та енергозбереження</w:t>
      </w:r>
      <w:r w:rsidR="00460905">
        <w:rPr>
          <w:sz w:val="24"/>
          <w:lang w:val="uk-UA"/>
        </w:rPr>
        <w:t xml:space="preserve">, затвердженому </w:t>
      </w:r>
      <w:r w:rsidR="00A77916">
        <w:rPr>
          <w:sz w:val="24"/>
          <w:lang w:val="uk-UA"/>
        </w:rPr>
        <w:t>вищевказаною</w:t>
      </w:r>
      <w:r w:rsidR="00460905">
        <w:rPr>
          <w:sz w:val="24"/>
          <w:lang w:val="uk-UA"/>
        </w:rPr>
        <w:t xml:space="preserve"> постановою Кабінету Міністрів України із змінами і доповненнями</w:t>
      </w:r>
      <w:r w:rsidR="00EB642A" w:rsidRPr="00E667E4">
        <w:rPr>
          <w:sz w:val="24"/>
          <w:lang w:val="uk-UA" w:eastAsia="uk-UA"/>
        </w:rPr>
        <w:t xml:space="preserve">, </w:t>
      </w:r>
      <w:r w:rsidR="00DA297A" w:rsidRPr="00DA297A">
        <w:rPr>
          <w:sz w:val="24"/>
          <w:lang w:val="uk-UA"/>
        </w:rPr>
        <w:t>виконком Сєвєродонецької міської ради</w:t>
      </w:r>
    </w:p>
    <w:p w:rsidR="00BF4439" w:rsidRPr="00BF4439" w:rsidRDefault="00BF4439" w:rsidP="00BF4439">
      <w:pPr>
        <w:rPr>
          <w:sz w:val="20"/>
          <w:szCs w:val="20"/>
          <w:highlight w:val="green"/>
          <w:lang w:val="uk-UA"/>
        </w:rPr>
      </w:pPr>
    </w:p>
    <w:p w:rsidR="00BF4439" w:rsidRPr="00BF4439" w:rsidRDefault="00BF4439" w:rsidP="00BF4439">
      <w:pPr>
        <w:ind w:firstLine="708"/>
        <w:rPr>
          <w:b/>
          <w:sz w:val="24"/>
          <w:lang w:val="uk-UA"/>
        </w:rPr>
      </w:pPr>
      <w:r w:rsidRPr="00BF4439">
        <w:rPr>
          <w:b/>
          <w:sz w:val="24"/>
          <w:lang w:val="uk-UA"/>
        </w:rPr>
        <w:t>ВИРІШИ</w:t>
      </w:r>
      <w:r w:rsidR="00A77916">
        <w:rPr>
          <w:b/>
          <w:sz w:val="24"/>
          <w:lang w:val="uk-UA"/>
        </w:rPr>
        <w:t>В</w:t>
      </w:r>
      <w:r w:rsidRPr="00BF4439">
        <w:rPr>
          <w:b/>
          <w:sz w:val="24"/>
          <w:lang w:val="uk-UA"/>
        </w:rPr>
        <w:t>:</w:t>
      </w:r>
    </w:p>
    <w:p w:rsidR="00BF4439" w:rsidRPr="00F46289" w:rsidRDefault="00BF4439" w:rsidP="00BF4439">
      <w:pPr>
        <w:rPr>
          <w:sz w:val="24"/>
          <w:lang w:val="uk-UA"/>
        </w:rPr>
      </w:pPr>
    </w:p>
    <w:p w:rsidR="00BF4439" w:rsidRDefault="00A77916" w:rsidP="00BF4439">
      <w:pPr>
        <w:numPr>
          <w:ilvl w:val="0"/>
          <w:numId w:val="10"/>
        </w:numPr>
        <w:tabs>
          <w:tab w:val="clear" w:pos="1080"/>
          <w:tab w:val="num" w:pos="1200"/>
        </w:tabs>
        <w:suppressAutoHyphens w:val="0"/>
        <w:spacing w:after="60"/>
        <w:ind w:left="0" w:firstLine="720"/>
        <w:jc w:val="both"/>
        <w:rPr>
          <w:sz w:val="24"/>
          <w:lang w:val="uk-UA"/>
        </w:rPr>
      </w:pPr>
      <w:r>
        <w:rPr>
          <w:sz w:val="24"/>
          <w:lang w:val="uk-UA"/>
        </w:rPr>
        <w:t>П</w:t>
      </w:r>
      <w:r w:rsidR="000A55F3">
        <w:rPr>
          <w:sz w:val="24"/>
          <w:lang w:val="uk-UA"/>
        </w:rPr>
        <w:t xml:space="preserve">ункт 2 </w:t>
      </w:r>
      <w:r w:rsidR="00460905">
        <w:rPr>
          <w:sz w:val="24"/>
          <w:lang w:val="uk-UA"/>
        </w:rPr>
        <w:t xml:space="preserve">додатку до </w:t>
      </w:r>
      <w:r w:rsidR="00EB642A" w:rsidRPr="00BF4439">
        <w:rPr>
          <w:sz w:val="24"/>
          <w:lang w:val="uk-UA" w:eastAsia="uk-UA"/>
        </w:rPr>
        <w:t>Програм</w:t>
      </w:r>
      <w:r w:rsidR="000A55F3">
        <w:rPr>
          <w:sz w:val="24"/>
          <w:lang w:val="uk-UA" w:eastAsia="uk-UA"/>
        </w:rPr>
        <w:t>и</w:t>
      </w:r>
      <w:r w:rsidR="00EB642A" w:rsidRPr="00BF4439">
        <w:rPr>
          <w:sz w:val="24"/>
          <w:lang w:val="uk-UA" w:eastAsia="uk-UA"/>
        </w:rPr>
        <w:t xml:space="preserve"> відшкодування </w:t>
      </w:r>
      <w:r w:rsidR="00C47903">
        <w:rPr>
          <w:sz w:val="24"/>
          <w:lang w:val="uk-UA" w:eastAsia="uk-UA"/>
        </w:rPr>
        <w:t xml:space="preserve">частини </w:t>
      </w:r>
      <w:r w:rsidR="00EB642A" w:rsidRPr="00BF4439">
        <w:rPr>
          <w:sz w:val="24"/>
          <w:lang w:val="uk-UA" w:eastAsia="uk-UA"/>
        </w:rPr>
        <w:t>відсоткових ставок за залученими кредитами на 201</w:t>
      </w:r>
      <w:r w:rsidR="00EB642A">
        <w:rPr>
          <w:sz w:val="24"/>
          <w:lang w:val="uk-UA" w:eastAsia="uk-UA"/>
        </w:rPr>
        <w:t>5</w:t>
      </w:r>
      <w:r w:rsidR="00EB642A" w:rsidRPr="00BF4439">
        <w:rPr>
          <w:sz w:val="24"/>
          <w:lang w:val="uk-UA" w:eastAsia="uk-UA"/>
        </w:rPr>
        <w:t>-201</w:t>
      </w:r>
      <w:r w:rsidR="00EB642A">
        <w:rPr>
          <w:sz w:val="24"/>
          <w:lang w:val="uk-UA" w:eastAsia="uk-UA"/>
        </w:rPr>
        <w:t>9</w:t>
      </w:r>
      <w:r w:rsidR="00EB642A" w:rsidRPr="00BF4439">
        <w:rPr>
          <w:sz w:val="24"/>
          <w:lang w:val="uk-UA" w:eastAsia="uk-UA"/>
        </w:rPr>
        <w:t xml:space="preserve"> роки</w:t>
      </w:r>
      <w:r w:rsidR="00460905">
        <w:rPr>
          <w:sz w:val="24"/>
          <w:lang w:val="uk-UA" w:eastAsia="uk-UA"/>
        </w:rPr>
        <w:t xml:space="preserve"> </w:t>
      </w:r>
      <w:r>
        <w:rPr>
          <w:sz w:val="24"/>
          <w:lang w:val="uk-UA" w:eastAsia="uk-UA"/>
        </w:rPr>
        <w:t xml:space="preserve">зі змінами і доповненнями </w:t>
      </w:r>
      <w:r w:rsidR="00460905">
        <w:rPr>
          <w:sz w:val="24"/>
          <w:lang w:val="uk-UA" w:eastAsia="uk-UA"/>
        </w:rPr>
        <w:t>викласти в новій редакції</w:t>
      </w:r>
      <w:r w:rsidR="00BF4439" w:rsidRPr="00BF4439">
        <w:rPr>
          <w:bCs/>
          <w:iCs/>
          <w:sz w:val="24"/>
          <w:lang w:val="uk-UA"/>
        </w:rPr>
        <w:t xml:space="preserve"> </w:t>
      </w:r>
      <w:r w:rsidR="00BF4439" w:rsidRPr="00BF4439">
        <w:rPr>
          <w:sz w:val="24"/>
          <w:lang w:val="uk-UA"/>
        </w:rPr>
        <w:t>(</w:t>
      </w:r>
      <w:r w:rsidR="00460905">
        <w:rPr>
          <w:sz w:val="24"/>
          <w:lang w:val="uk-UA"/>
        </w:rPr>
        <w:t>д</w:t>
      </w:r>
      <w:r w:rsidR="00BF4439" w:rsidRPr="00BF4439">
        <w:rPr>
          <w:sz w:val="24"/>
          <w:lang w:val="uk-UA"/>
        </w:rPr>
        <w:t>одаток).</w:t>
      </w:r>
    </w:p>
    <w:p w:rsidR="00DA297A" w:rsidRPr="00BF4439" w:rsidRDefault="00A77916" w:rsidP="00BF4439">
      <w:pPr>
        <w:numPr>
          <w:ilvl w:val="0"/>
          <w:numId w:val="10"/>
        </w:numPr>
        <w:tabs>
          <w:tab w:val="clear" w:pos="1080"/>
          <w:tab w:val="num" w:pos="1200"/>
        </w:tabs>
        <w:suppressAutoHyphens w:val="0"/>
        <w:spacing w:after="60"/>
        <w:ind w:left="0" w:firstLine="720"/>
        <w:jc w:val="both"/>
        <w:rPr>
          <w:sz w:val="24"/>
          <w:lang w:val="uk-UA"/>
        </w:rPr>
      </w:pPr>
      <w:r>
        <w:rPr>
          <w:bCs/>
          <w:sz w:val="24"/>
          <w:lang w:val="uk-UA"/>
        </w:rPr>
        <w:t>Дане р</w:t>
      </w:r>
      <w:r w:rsidR="00DA297A" w:rsidRPr="00BF4439">
        <w:rPr>
          <w:bCs/>
          <w:sz w:val="24"/>
          <w:lang w:val="uk-UA"/>
        </w:rPr>
        <w:t xml:space="preserve">ішення </w:t>
      </w:r>
      <w:r w:rsidR="003E0923">
        <w:rPr>
          <w:bCs/>
          <w:sz w:val="24"/>
          <w:lang w:val="uk-UA"/>
        </w:rPr>
        <w:t>з</w:t>
      </w:r>
      <w:r w:rsidR="00DA297A">
        <w:rPr>
          <w:bCs/>
          <w:sz w:val="24"/>
          <w:lang w:val="uk-UA"/>
        </w:rPr>
        <w:t>атверд</w:t>
      </w:r>
      <w:r w:rsidR="003E0923">
        <w:rPr>
          <w:bCs/>
          <w:sz w:val="24"/>
          <w:lang w:val="uk-UA"/>
        </w:rPr>
        <w:t>ити</w:t>
      </w:r>
      <w:r w:rsidR="00DA297A">
        <w:rPr>
          <w:bCs/>
          <w:sz w:val="24"/>
          <w:lang w:val="uk-UA"/>
        </w:rPr>
        <w:t xml:space="preserve"> на </w:t>
      </w:r>
      <w:r>
        <w:rPr>
          <w:bCs/>
          <w:sz w:val="24"/>
          <w:lang w:val="uk-UA"/>
        </w:rPr>
        <w:t xml:space="preserve">черговій </w:t>
      </w:r>
      <w:r w:rsidR="00DA297A">
        <w:rPr>
          <w:bCs/>
          <w:sz w:val="24"/>
          <w:lang w:val="uk-UA"/>
        </w:rPr>
        <w:t>сесії міської ради.</w:t>
      </w:r>
    </w:p>
    <w:p w:rsidR="00BF4439" w:rsidRPr="00BF4439" w:rsidRDefault="00BF4439" w:rsidP="00BF4439">
      <w:pPr>
        <w:numPr>
          <w:ilvl w:val="0"/>
          <w:numId w:val="10"/>
        </w:numPr>
        <w:tabs>
          <w:tab w:val="clear" w:pos="1080"/>
          <w:tab w:val="num" w:pos="1200"/>
        </w:tabs>
        <w:suppressAutoHyphens w:val="0"/>
        <w:spacing w:after="60"/>
        <w:ind w:left="1440" w:hanging="720"/>
        <w:jc w:val="both"/>
        <w:rPr>
          <w:bCs/>
          <w:sz w:val="24"/>
          <w:lang w:val="uk-UA"/>
        </w:rPr>
      </w:pPr>
      <w:r w:rsidRPr="00BF4439">
        <w:rPr>
          <w:bCs/>
          <w:sz w:val="24"/>
          <w:lang w:val="uk-UA"/>
        </w:rPr>
        <w:t>Рішення підлягає оприлюдненню.</w:t>
      </w:r>
    </w:p>
    <w:p w:rsidR="00BF4439" w:rsidRPr="00DA297A" w:rsidRDefault="00DA297A" w:rsidP="00BF4439">
      <w:pPr>
        <w:numPr>
          <w:ilvl w:val="0"/>
          <w:numId w:val="10"/>
        </w:numPr>
        <w:tabs>
          <w:tab w:val="clear" w:pos="1080"/>
          <w:tab w:val="num" w:pos="1200"/>
        </w:tabs>
        <w:suppressAutoHyphens w:val="0"/>
        <w:spacing w:after="60"/>
        <w:ind w:left="0" w:firstLine="708"/>
        <w:jc w:val="both"/>
        <w:rPr>
          <w:sz w:val="24"/>
          <w:lang w:val="uk-UA"/>
        </w:rPr>
      </w:pPr>
      <w:r w:rsidRPr="00DA297A">
        <w:rPr>
          <w:sz w:val="24"/>
          <w:lang w:val="uk-UA"/>
        </w:rPr>
        <w:t>Контроль за виконанням рішення покласти на першого заступника міського голови Чернишина П.Г.</w:t>
      </w:r>
    </w:p>
    <w:p w:rsidR="00BF4439" w:rsidRPr="00DA297A" w:rsidRDefault="00BF4439" w:rsidP="00BF4439">
      <w:pPr>
        <w:rPr>
          <w:sz w:val="24"/>
        </w:rPr>
      </w:pPr>
    </w:p>
    <w:p w:rsidR="00BF4439" w:rsidRPr="00EB642A" w:rsidRDefault="004C5675" w:rsidP="00BF4439">
      <w:pPr>
        <w:tabs>
          <w:tab w:val="left" w:pos="6840"/>
        </w:tabs>
        <w:spacing w:line="360" w:lineRule="auto"/>
        <w:rPr>
          <w:b/>
          <w:sz w:val="24"/>
          <w:lang w:val="uk-UA"/>
        </w:rPr>
      </w:pPr>
      <w:r>
        <w:rPr>
          <w:b/>
          <w:sz w:val="24"/>
          <w:lang w:val="uk-UA"/>
        </w:rPr>
        <w:t>Перший заступник міського голови</w:t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  <w:t>П.Г.Чернишин</w:t>
      </w:r>
    </w:p>
    <w:p w:rsidR="00E667E4" w:rsidRPr="009A7B94" w:rsidRDefault="00E667E4" w:rsidP="00E667E4">
      <w:pPr>
        <w:shd w:val="clear" w:color="auto" w:fill="FFFFFF"/>
        <w:jc w:val="center"/>
        <w:rPr>
          <w:b/>
          <w:sz w:val="40"/>
          <w:szCs w:val="40"/>
          <w:lang w:val="uk-UA"/>
        </w:rPr>
        <w:sectPr w:rsidR="00E667E4" w:rsidRPr="009A7B94" w:rsidSect="00460905">
          <w:pgSz w:w="11906" w:h="16838"/>
          <w:pgMar w:top="851" w:right="851" w:bottom="567" w:left="1701" w:header="1134" w:footer="1134" w:gutter="0"/>
          <w:cols w:space="720"/>
          <w:docGrid w:linePitch="360"/>
        </w:sectPr>
      </w:pPr>
    </w:p>
    <w:p w:rsidR="00082012" w:rsidRPr="00EB642A" w:rsidRDefault="00082012" w:rsidP="00082012">
      <w:pPr>
        <w:tabs>
          <w:tab w:val="center" w:pos="8200"/>
        </w:tabs>
        <w:ind w:firstLine="5664"/>
        <w:rPr>
          <w:sz w:val="24"/>
          <w:lang w:val="uk-UA"/>
        </w:rPr>
      </w:pPr>
      <w:r w:rsidRPr="00EB642A">
        <w:rPr>
          <w:sz w:val="24"/>
          <w:lang w:val="uk-UA"/>
        </w:rPr>
        <w:lastRenderedPageBreak/>
        <w:t xml:space="preserve">Додаток </w:t>
      </w:r>
      <w:r w:rsidRPr="00EB642A">
        <w:rPr>
          <w:sz w:val="24"/>
          <w:lang w:val="uk-UA"/>
        </w:rPr>
        <w:tab/>
      </w:r>
    </w:p>
    <w:p w:rsidR="00F46289" w:rsidRPr="00D739AD" w:rsidRDefault="00F46289" w:rsidP="00F46289">
      <w:pPr>
        <w:pStyle w:val="af"/>
        <w:ind w:left="4956" w:firstLine="708"/>
        <w:jc w:val="both"/>
        <w:rPr>
          <w:b w:val="0"/>
          <w:bCs/>
          <w:sz w:val="24"/>
        </w:rPr>
      </w:pPr>
      <w:r w:rsidRPr="00D739AD">
        <w:rPr>
          <w:b w:val="0"/>
          <w:bCs/>
          <w:sz w:val="24"/>
        </w:rPr>
        <w:t>до рішення виконкому</w:t>
      </w:r>
    </w:p>
    <w:p w:rsidR="00082012" w:rsidRPr="00EB642A" w:rsidRDefault="00082012" w:rsidP="00082012">
      <w:pPr>
        <w:ind w:left="4956" w:firstLine="708"/>
        <w:rPr>
          <w:lang w:val="uk-UA"/>
        </w:rPr>
      </w:pPr>
      <w:r w:rsidRPr="00EB642A">
        <w:rPr>
          <w:bCs/>
          <w:sz w:val="24"/>
          <w:lang w:val="uk-UA"/>
        </w:rPr>
        <w:t xml:space="preserve">від </w:t>
      </w:r>
      <w:r w:rsidR="000B5F64">
        <w:rPr>
          <w:bCs/>
          <w:sz w:val="24"/>
          <w:lang w:val="uk-UA"/>
        </w:rPr>
        <w:t>02</w:t>
      </w:r>
      <w:r>
        <w:rPr>
          <w:bCs/>
          <w:sz w:val="24"/>
          <w:lang w:val="uk-UA"/>
        </w:rPr>
        <w:t xml:space="preserve"> груд</w:t>
      </w:r>
      <w:r w:rsidRPr="00EB642A">
        <w:rPr>
          <w:bCs/>
          <w:sz w:val="24"/>
          <w:lang w:val="uk-UA"/>
        </w:rPr>
        <w:t xml:space="preserve">ня 2015 року № </w:t>
      </w:r>
      <w:r w:rsidR="000B5F64">
        <w:rPr>
          <w:bCs/>
          <w:sz w:val="24"/>
          <w:lang w:val="uk-UA"/>
        </w:rPr>
        <w:t>579</w:t>
      </w:r>
    </w:p>
    <w:p w:rsidR="00E667E4" w:rsidRPr="00490277" w:rsidRDefault="00E667E4" w:rsidP="00490277">
      <w:pPr>
        <w:widowControl w:val="0"/>
        <w:shd w:val="clear" w:color="auto" w:fill="FFFFFF"/>
        <w:tabs>
          <w:tab w:val="left" w:pos="0"/>
        </w:tabs>
        <w:autoSpaceDE w:val="0"/>
        <w:ind w:right="-20"/>
        <w:jc w:val="center"/>
        <w:rPr>
          <w:sz w:val="24"/>
          <w:lang w:val="uk-UA"/>
        </w:rPr>
      </w:pPr>
    </w:p>
    <w:p w:rsidR="00E667E4" w:rsidRPr="00490277" w:rsidRDefault="00E667E4" w:rsidP="00E667E4">
      <w:pPr>
        <w:shd w:val="clear" w:color="auto" w:fill="FFFFFF"/>
        <w:ind w:right="-20"/>
        <w:jc w:val="center"/>
        <w:rPr>
          <w:b/>
          <w:sz w:val="24"/>
          <w:lang w:val="uk-UA"/>
        </w:rPr>
      </w:pPr>
      <w:r w:rsidRPr="00490277">
        <w:rPr>
          <w:b/>
          <w:sz w:val="24"/>
          <w:lang w:val="uk-UA"/>
        </w:rPr>
        <w:t>2.</w:t>
      </w:r>
      <w:r w:rsidRPr="00490277">
        <w:rPr>
          <w:sz w:val="24"/>
          <w:lang w:val="uk-UA"/>
        </w:rPr>
        <w:t xml:space="preserve"> </w:t>
      </w:r>
      <w:r w:rsidRPr="00490277">
        <w:rPr>
          <w:b/>
          <w:sz w:val="24"/>
          <w:lang w:val="uk-UA"/>
        </w:rPr>
        <w:t>Порядок відшкодування відсоткових ставок</w:t>
      </w:r>
    </w:p>
    <w:p w:rsidR="00E667E4" w:rsidRPr="00490277" w:rsidRDefault="00E667E4" w:rsidP="00E667E4">
      <w:pPr>
        <w:shd w:val="clear" w:color="auto" w:fill="FFFFFF"/>
        <w:ind w:right="-20"/>
        <w:jc w:val="center"/>
        <w:rPr>
          <w:b/>
          <w:sz w:val="24"/>
          <w:lang w:val="uk-UA"/>
        </w:rPr>
      </w:pPr>
      <w:r w:rsidRPr="00490277">
        <w:rPr>
          <w:b/>
          <w:sz w:val="24"/>
          <w:lang w:val="uk-UA"/>
        </w:rPr>
        <w:t xml:space="preserve">за кредитами, залученими в кредитно-фінансових установах </w:t>
      </w:r>
    </w:p>
    <w:p w:rsidR="00E667E4" w:rsidRPr="00490277" w:rsidRDefault="00E667E4" w:rsidP="00E667E4">
      <w:pPr>
        <w:shd w:val="clear" w:color="auto" w:fill="FFFFFF"/>
        <w:tabs>
          <w:tab w:val="left" w:pos="0"/>
        </w:tabs>
        <w:ind w:right="-20"/>
        <w:jc w:val="center"/>
        <w:rPr>
          <w:b/>
          <w:sz w:val="24"/>
          <w:lang w:val="uk-UA"/>
        </w:rPr>
      </w:pPr>
    </w:p>
    <w:p w:rsidR="00E667E4" w:rsidRPr="00490277" w:rsidRDefault="00E667E4" w:rsidP="00A53ECB">
      <w:pPr>
        <w:shd w:val="clear" w:color="auto" w:fill="FFFFFF"/>
        <w:spacing w:after="60"/>
        <w:ind w:firstLine="709"/>
        <w:jc w:val="both"/>
        <w:textAlignment w:val="baseline"/>
        <w:rPr>
          <w:sz w:val="24"/>
          <w:lang w:val="uk-UA"/>
        </w:rPr>
      </w:pPr>
      <w:r w:rsidRPr="00490277">
        <w:rPr>
          <w:sz w:val="24"/>
          <w:lang w:val="uk-UA"/>
        </w:rPr>
        <w:t>2.1</w:t>
      </w:r>
      <w:r w:rsidR="007B2320">
        <w:rPr>
          <w:sz w:val="24"/>
          <w:lang w:val="uk-UA"/>
        </w:rPr>
        <w:t>.</w:t>
      </w:r>
      <w:r w:rsidRPr="00490277">
        <w:rPr>
          <w:sz w:val="24"/>
          <w:lang w:val="uk-UA"/>
        </w:rPr>
        <w:t xml:space="preserve"> Відшкодування </w:t>
      </w:r>
      <w:r w:rsidR="00BD7F26">
        <w:rPr>
          <w:sz w:val="24"/>
          <w:lang w:val="uk-UA"/>
        </w:rPr>
        <w:t xml:space="preserve">частини </w:t>
      </w:r>
      <w:r w:rsidRPr="00490277">
        <w:rPr>
          <w:sz w:val="24"/>
          <w:lang w:val="uk-UA"/>
        </w:rPr>
        <w:t>відсотків передбачається за кредитами, залученими на цілі, передбачені цією Програмою.</w:t>
      </w:r>
    </w:p>
    <w:p w:rsidR="00E667E4" w:rsidRDefault="00E667E4" w:rsidP="00A53ECB">
      <w:pPr>
        <w:shd w:val="clear" w:color="auto" w:fill="FFFFFF"/>
        <w:spacing w:after="60"/>
        <w:ind w:firstLine="709"/>
        <w:jc w:val="both"/>
        <w:textAlignment w:val="baseline"/>
        <w:rPr>
          <w:sz w:val="24"/>
          <w:bdr w:val="none" w:sz="0" w:space="0" w:color="auto" w:frame="1"/>
          <w:lang w:val="uk-UA" w:eastAsia="uk-UA"/>
        </w:rPr>
      </w:pPr>
      <w:r w:rsidRPr="00490277">
        <w:rPr>
          <w:sz w:val="24"/>
          <w:bdr w:val="none" w:sz="0" w:space="0" w:color="auto" w:frame="1"/>
          <w:lang w:val="uk-UA" w:eastAsia="uk-UA"/>
        </w:rPr>
        <w:t>2.2</w:t>
      </w:r>
      <w:r w:rsidR="007B2320">
        <w:rPr>
          <w:sz w:val="24"/>
          <w:bdr w:val="none" w:sz="0" w:space="0" w:color="auto" w:frame="1"/>
          <w:lang w:val="uk-UA" w:eastAsia="uk-UA"/>
        </w:rPr>
        <w:t>.</w:t>
      </w:r>
      <w:r w:rsidRPr="00490277">
        <w:rPr>
          <w:sz w:val="24"/>
          <w:bdr w:val="none" w:sz="0" w:space="0" w:color="auto" w:frame="1"/>
          <w:lang w:val="uk-UA" w:eastAsia="uk-UA"/>
        </w:rPr>
        <w:t xml:space="preserve"> </w:t>
      </w:r>
      <w:r w:rsidR="0086280D">
        <w:rPr>
          <w:sz w:val="24"/>
          <w:lang w:val="uk-UA"/>
        </w:rPr>
        <w:t>Згідно пункту 3 Порядку використання коштів, передбачених у державному бюджеті для здійснення заходів щодо енергоефективного використання енергетичних ресурсів та енергозбереження, затвердженому постановою Кабінету Міністрів України від 17.10.2011 № 1056 «Деякі питання використання коштів у сфері енергоефективності та енергозбереження» із змінами і доповненнями</w:t>
      </w:r>
      <w:r w:rsidR="0086280D" w:rsidRPr="00E667E4">
        <w:rPr>
          <w:sz w:val="24"/>
          <w:lang w:val="uk-UA" w:eastAsia="uk-UA"/>
        </w:rPr>
        <w:t xml:space="preserve">, </w:t>
      </w:r>
      <w:r w:rsidR="00A77916">
        <w:rPr>
          <w:sz w:val="24"/>
          <w:bdr w:val="none" w:sz="0" w:space="0" w:color="auto" w:frame="1"/>
          <w:lang w:val="uk-UA" w:eastAsia="uk-UA"/>
        </w:rPr>
        <w:t>в</w:t>
      </w:r>
      <w:r w:rsidRPr="00490277">
        <w:rPr>
          <w:sz w:val="24"/>
          <w:bdr w:val="none" w:sz="0" w:space="0" w:color="auto" w:frame="1"/>
          <w:lang w:val="uk-UA" w:eastAsia="uk-UA"/>
        </w:rPr>
        <w:t xml:space="preserve">ідшкодування </w:t>
      </w:r>
      <w:r w:rsidR="002A609B">
        <w:rPr>
          <w:sz w:val="24"/>
          <w:bdr w:val="none" w:sz="0" w:space="0" w:color="auto" w:frame="1"/>
          <w:lang w:val="uk-UA" w:eastAsia="uk-UA"/>
        </w:rPr>
        <w:t xml:space="preserve">частини </w:t>
      </w:r>
      <w:r w:rsidRPr="00490277">
        <w:rPr>
          <w:sz w:val="24"/>
          <w:bdr w:val="none" w:sz="0" w:space="0" w:color="auto" w:frame="1"/>
          <w:lang w:val="uk-UA" w:eastAsia="uk-UA"/>
        </w:rPr>
        <w:t xml:space="preserve">відсотків за наданими кредитами здійснюється </w:t>
      </w:r>
      <w:r w:rsidRPr="00A0359D">
        <w:rPr>
          <w:b/>
          <w:sz w:val="24"/>
          <w:bdr w:val="none" w:sz="0" w:space="0" w:color="auto" w:frame="1"/>
          <w:lang w:val="uk-UA" w:eastAsia="uk-UA"/>
        </w:rPr>
        <w:t>за такими напрямками:</w:t>
      </w:r>
    </w:p>
    <w:p w:rsidR="00A53ECB" w:rsidRPr="001F7705" w:rsidRDefault="00A53ECB" w:rsidP="00D313C2">
      <w:pPr>
        <w:pStyle w:val="Style4"/>
        <w:widowControl/>
        <w:numPr>
          <w:ilvl w:val="0"/>
          <w:numId w:val="19"/>
        </w:numPr>
        <w:tabs>
          <w:tab w:val="left" w:pos="266"/>
        </w:tabs>
        <w:spacing w:after="60" w:line="240" w:lineRule="auto"/>
        <w:ind w:left="0" w:right="36" w:firstLine="360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 xml:space="preserve">проведення модернізації та заміни котлів з переведенням їх на альтернативні види палива, реалізацію проектів з впровадження технологій використання теплових насосів, електричного теплоакумуляційного обігріву та гарячого водопостачання </w:t>
      </w:r>
      <w:r w:rsidRPr="00BE3B20">
        <w:rPr>
          <w:rStyle w:val="FontStyle12"/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на об'єктах комунальної форми власності і соціальної сфери </w:t>
      </w: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та впровадження когенераційних технологій з використанням альтернативних видів палива у сфері комунальної теплоенергетики;</w:t>
      </w:r>
    </w:p>
    <w:p w:rsidR="00A53ECB" w:rsidRPr="001F7705" w:rsidRDefault="00A53ECB" w:rsidP="00A53ECB">
      <w:pPr>
        <w:pStyle w:val="Style4"/>
        <w:widowControl/>
        <w:numPr>
          <w:ilvl w:val="0"/>
          <w:numId w:val="19"/>
        </w:numPr>
        <w:tabs>
          <w:tab w:val="left" w:pos="266"/>
        </w:tabs>
        <w:spacing w:after="60" w:line="240" w:lineRule="auto"/>
        <w:ind w:left="0" w:right="43" w:firstLine="360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 xml:space="preserve">здійснення заходів, спрямованих </w:t>
      </w:r>
      <w:r w:rsidRPr="00A0359D">
        <w:rPr>
          <w:rStyle w:val="FontStyle12"/>
          <w:rFonts w:ascii="Times New Roman" w:hAnsi="Times New Roman" w:cs="Times New Roman"/>
          <w:b/>
          <w:sz w:val="24"/>
          <w:szCs w:val="24"/>
          <w:lang w:val="uk-UA" w:eastAsia="uk-UA"/>
        </w:rPr>
        <w:t>на формування в суспільстві свідомого ставлення</w:t>
      </w: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 xml:space="preserve"> до необхідності підвищення енергоефективності, розвитку та використання відновлюваних джерел енергії та альтернативних видів палива;</w:t>
      </w:r>
    </w:p>
    <w:p w:rsidR="00A53ECB" w:rsidRPr="00A53ECB" w:rsidRDefault="00A53ECB" w:rsidP="00A53ECB">
      <w:pPr>
        <w:pStyle w:val="Style4"/>
        <w:widowControl/>
        <w:numPr>
          <w:ilvl w:val="0"/>
          <w:numId w:val="19"/>
        </w:numPr>
        <w:spacing w:after="60" w:line="240" w:lineRule="auto"/>
        <w:ind w:left="0" w:right="36" w:firstLine="360"/>
        <w:rPr>
          <w:rFonts w:ascii="Times New Roman" w:hAnsi="Times New Roman"/>
          <w:lang w:val="uk-UA"/>
        </w:rPr>
      </w:pPr>
      <w:r w:rsidRPr="00517666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 xml:space="preserve">стимулювання </w:t>
      </w:r>
      <w:r w:rsidRPr="00BE3B20">
        <w:rPr>
          <w:rStyle w:val="FontStyle12"/>
          <w:rFonts w:ascii="Times New Roman" w:hAnsi="Times New Roman" w:cs="Times New Roman"/>
          <w:b/>
          <w:sz w:val="24"/>
          <w:szCs w:val="24"/>
          <w:lang w:val="uk-UA" w:eastAsia="uk-UA"/>
        </w:rPr>
        <w:t>об'єднань співвласників багатоквартирних будинків, житлово-будівельних кооперативів</w:t>
      </w:r>
      <w:r w:rsidRPr="00517666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 xml:space="preserve"> до впровадження енергоефективних заходів</w:t>
      </w:r>
      <w:r w:rsidR="00A77916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,</w:t>
      </w:r>
      <w:r w:rsidRPr="00517666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 xml:space="preserve"> шляхом відшкодування частини</w:t>
      </w:r>
      <w:r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суми кредиту, залученого для придбання енергоефективного обладнання та/або матеріалів, до яких належать:</w:t>
      </w:r>
    </w:p>
    <w:p w:rsidR="00A53ECB" w:rsidRPr="001F7705" w:rsidRDefault="00A53ECB" w:rsidP="00D313C2">
      <w:pPr>
        <w:pStyle w:val="Style1"/>
        <w:widowControl/>
        <w:numPr>
          <w:ilvl w:val="0"/>
          <w:numId w:val="24"/>
        </w:numPr>
        <w:spacing w:after="60" w:line="240" w:lineRule="auto"/>
        <w:ind w:left="0" w:firstLine="360"/>
        <w:jc w:val="left"/>
        <w:rPr>
          <w:rFonts w:ascii="Times New Roman" w:hAnsi="Times New Roman"/>
        </w:rPr>
      </w:pP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обладнання і матеріали для облаштування індивідуальних теплових пунктів;</w:t>
      </w:r>
    </w:p>
    <w:p w:rsidR="00A53ECB" w:rsidRPr="001F7705" w:rsidRDefault="00A53ECB" w:rsidP="00D313C2">
      <w:pPr>
        <w:pStyle w:val="Style1"/>
        <w:widowControl/>
        <w:numPr>
          <w:ilvl w:val="0"/>
          <w:numId w:val="24"/>
        </w:numPr>
        <w:spacing w:after="60" w:line="240" w:lineRule="auto"/>
        <w:ind w:left="0" w:right="50" w:firstLine="360"/>
        <w:rPr>
          <w:rFonts w:ascii="Times New Roman" w:hAnsi="Times New Roman"/>
        </w:rPr>
      </w:pP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регулятори теплового потоку за погодними умовами та відповідне додаткове обладнання і матеріали до них;</w:t>
      </w:r>
    </w:p>
    <w:p w:rsidR="00A53ECB" w:rsidRPr="001F7705" w:rsidRDefault="00A53ECB" w:rsidP="00D313C2">
      <w:pPr>
        <w:pStyle w:val="Style1"/>
        <w:widowControl/>
        <w:numPr>
          <w:ilvl w:val="0"/>
          <w:numId w:val="24"/>
        </w:numPr>
        <w:spacing w:after="60" w:line="240" w:lineRule="auto"/>
        <w:ind w:left="0" w:right="14" w:firstLine="360"/>
        <w:rPr>
          <w:rFonts w:ascii="Times New Roman" w:hAnsi="Times New Roman"/>
        </w:rPr>
      </w:pP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вузли обліку води (гарячої, холодної) та теплової енергії, зокрема засоби вимірювальної техніки (прилади обліку, лічильники) та відповідне додаткове обладнання і матеріали до них;</w:t>
      </w:r>
    </w:p>
    <w:p w:rsidR="00A53ECB" w:rsidRPr="001F7705" w:rsidRDefault="00A53ECB" w:rsidP="00D313C2">
      <w:pPr>
        <w:pStyle w:val="Style1"/>
        <w:widowControl/>
        <w:numPr>
          <w:ilvl w:val="0"/>
          <w:numId w:val="24"/>
        </w:numPr>
        <w:spacing w:after="60" w:line="240" w:lineRule="auto"/>
        <w:ind w:left="0" w:right="22" w:firstLine="360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багатозонний (багатотарифний) прилад обліку електричної енергії (лічильник активної електричної енергії) та відповідне додаткове обладнання і матеріали до нього;</w:t>
      </w:r>
    </w:p>
    <w:p w:rsidR="00A53ECB" w:rsidRPr="00A53ECB" w:rsidRDefault="00A53ECB" w:rsidP="00D313C2">
      <w:pPr>
        <w:pStyle w:val="Style1"/>
        <w:widowControl/>
        <w:numPr>
          <w:ilvl w:val="0"/>
          <w:numId w:val="24"/>
        </w:numPr>
        <w:spacing w:after="60" w:line="240" w:lineRule="auto"/>
        <w:ind w:left="0" w:right="29" w:firstLine="360"/>
        <w:rPr>
          <w:rFonts w:ascii="Times New Roman" w:hAnsi="Times New Roman"/>
          <w:lang w:val="uk-UA"/>
        </w:rPr>
      </w:pP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світлопрозорі конструкції з енергозберігаючим склом, у тому числі вікна та балконні двері для місць загального користування (під'їздів, підвалів, технічних приміщень, горищ тощо) (крім однокамерних), та відповідне додаткове обладнання і матеріали до них;</w:t>
      </w:r>
    </w:p>
    <w:p w:rsidR="00A53ECB" w:rsidRPr="004E30D0" w:rsidRDefault="00A53ECB" w:rsidP="00D313C2">
      <w:pPr>
        <w:pStyle w:val="Style1"/>
        <w:widowControl/>
        <w:numPr>
          <w:ilvl w:val="0"/>
          <w:numId w:val="24"/>
        </w:numPr>
        <w:spacing w:after="60" w:line="240" w:lineRule="auto"/>
        <w:ind w:left="0" w:right="22" w:firstLine="360"/>
        <w:rPr>
          <w:rFonts w:ascii="Times New Roman" w:hAnsi="Times New Roman"/>
          <w:lang w:val="uk-UA"/>
        </w:rPr>
      </w:pP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 xml:space="preserve">обладнання і матеріали для проведення робіт з теплоізоляції (термомодернізації) зовнішніх стін, підвальних приміщень, </w:t>
      </w:r>
      <w:r w:rsidR="00A77916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горищ, покрівель та фундаменті</w:t>
      </w: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в;</w:t>
      </w:r>
    </w:p>
    <w:p w:rsidR="00A53ECB" w:rsidRPr="001F7705" w:rsidRDefault="00A53ECB" w:rsidP="00D313C2">
      <w:pPr>
        <w:pStyle w:val="Style1"/>
        <w:widowControl/>
        <w:numPr>
          <w:ilvl w:val="0"/>
          <w:numId w:val="24"/>
        </w:numPr>
        <w:spacing w:after="60" w:line="240" w:lineRule="auto"/>
        <w:ind w:left="0" w:right="22" w:firstLine="360"/>
        <w:rPr>
          <w:rFonts w:ascii="Times New Roman" w:hAnsi="Times New Roman"/>
        </w:rPr>
      </w:pP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обладнання і матеріали для проведення робіт з термомодернізації внутрішньобудинкових систем опалення, постачання гарячої води;</w:t>
      </w:r>
    </w:p>
    <w:p w:rsidR="00A53ECB" w:rsidRPr="001F7705" w:rsidRDefault="00A53ECB" w:rsidP="00D313C2">
      <w:pPr>
        <w:pStyle w:val="Style1"/>
        <w:widowControl/>
        <w:numPr>
          <w:ilvl w:val="0"/>
          <w:numId w:val="24"/>
        </w:numPr>
        <w:spacing w:after="60" w:line="240" w:lineRule="auto"/>
        <w:ind w:left="0" w:right="29" w:firstLine="360"/>
        <w:rPr>
          <w:rFonts w:ascii="Times New Roman" w:hAnsi="Times New Roman"/>
        </w:rPr>
      </w:pP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обладнання і матеріали для модернізації систем освітлення місць загального користування (у тому числі заміни електропроводки, ламп та патронів до них, встановлення автоматичних вимикачів);</w:t>
      </w:r>
    </w:p>
    <w:p w:rsidR="00A53ECB" w:rsidRPr="001F7705" w:rsidRDefault="00A53ECB" w:rsidP="00D313C2">
      <w:pPr>
        <w:pStyle w:val="Style1"/>
        <w:widowControl/>
        <w:numPr>
          <w:ilvl w:val="0"/>
          <w:numId w:val="24"/>
        </w:numPr>
        <w:spacing w:after="60" w:line="240" w:lineRule="auto"/>
        <w:ind w:left="0" w:firstLine="360"/>
        <w:rPr>
          <w:rFonts w:ascii="Times New Roman" w:hAnsi="Times New Roman"/>
        </w:rPr>
      </w:pP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теплонасосна система опалення та/або гарячого водопостачання та відповідне додаткове обладнання і матеріали до не</w:t>
      </w:r>
      <w:r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ї</w:t>
      </w: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;</w:t>
      </w:r>
    </w:p>
    <w:p w:rsidR="00A53ECB" w:rsidRPr="001F7705" w:rsidRDefault="00A53ECB" w:rsidP="00D313C2">
      <w:pPr>
        <w:pStyle w:val="Style1"/>
        <w:widowControl/>
        <w:numPr>
          <w:ilvl w:val="0"/>
          <w:numId w:val="24"/>
        </w:numPr>
        <w:spacing w:after="60" w:line="240" w:lineRule="auto"/>
        <w:ind w:left="0" w:right="7" w:firstLine="360"/>
        <w:rPr>
          <w:rFonts w:ascii="Times New Roman" w:hAnsi="Times New Roman"/>
        </w:rPr>
      </w:pP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lastRenderedPageBreak/>
        <w:t>система сонячного теплопостачання та/або гарячого водопостачання та відповідне додаткове обладнання і матеріали до неї;</w:t>
      </w:r>
    </w:p>
    <w:p w:rsidR="00A53ECB" w:rsidRPr="001F7705" w:rsidRDefault="00A53ECB" w:rsidP="00D313C2">
      <w:pPr>
        <w:pStyle w:val="Style1"/>
        <w:widowControl/>
        <w:numPr>
          <w:ilvl w:val="0"/>
          <w:numId w:val="24"/>
        </w:numPr>
        <w:spacing w:after="60" w:line="240" w:lineRule="auto"/>
        <w:ind w:left="0" w:right="22" w:firstLine="360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двері для місць загального користування (в тому числі під'їздів, підвалів, технічних приміщень, горищ) та відповідне додаткове обладнання і матеріали до них;</w:t>
      </w:r>
    </w:p>
    <w:p w:rsidR="000C7EBB" w:rsidRPr="001F7705" w:rsidRDefault="000C7EBB" w:rsidP="000C7EBB">
      <w:pPr>
        <w:pStyle w:val="Style1"/>
        <w:widowControl/>
        <w:numPr>
          <w:ilvl w:val="0"/>
          <w:numId w:val="19"/>
        </w:numPr>
        <w:spacing w:after="60" w:line="240" w:lineRule="auto"/>
        <w:ind w:left="0" w:right="28" w:firstLine="360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A0359D">
        <w:rPr>
          <w:rStyle w:val="FontStyle12"/>
          <w:rFonts w:ascii="Times New Roman" w:hAnsi="Times New Roman" w:cs="Times New Roman"/>
          <w:b/>
          <w:sz w:val="24"/>
          <w:szCs w:val="24"/>
          <w:lang w:val="uk-UA" w:eastAsia="uk-UA"/>
        </w:rPr>
        <w:t>стимулювання населення</w:t>
      </w: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 xml:space="preserve"> до впровадження енергоефективних заходів шляхом відшкодування частини суми кредиту, залученого </w:t>
      </w:r>
      <w:r w:rsidRPr="00A0359D">
        <w:rPr>
          <w:rStyle w:val="FontStyle12"/>
          <w:rFonts w:ascii="Times New Roman" w:hAnsi="Times New Roman" w:cs="Times New Roman"/>
          <w:b/>
          <w:sz w:val="24"/>
          <w:szCs w:val="24"/>
          <w:lang w:val="uk-UA" w:eastAsia="uk-UA"/>
        </w:rPr>
        <w:t>для придбання котлів</w:t>
      </w: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 xml:space="preserve"> з використанням будь-яких видів палива та енергії (за винятком природного газу та електроенергії (крім електричного теплоакумуляційного обігріву та гарячого водопостачання) та відповідного додаткового обладнання і матеріалів до них;</w:t>
      </w:r>
    </w:p>
    <w:p w:rsidR="00C73F85" w:rsidRDefault="00C73F85" w:rsidP="000F67FA">
      <w:pPr>
        <w:pStyle w:val="Style1"/>
        <w:widowControl/>
        <w:numPr>
          <w:ilvl w:val="0"/>
          <w:numId w:val="19"/>
        </w:numPr>
        <w:spacing w:after="60" w:line="240" w:lineRule="auto"/>
        <w:ind w:left="0" w:firstLine="363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A0359D">
        <w:rPr>
          <w:rStyle w:val="FontStyle12"/>
          <w:rFonts w:ascii="Times New Roman" w:hAnsi="Times New Roman" w:cs="Times New Roman"/>
          <w:b/>
          <w:sz w:val="24"/>
          <w:szCs w:val="24"/>
          <w:lang w:val="uk-UA" w:eastAsia="uk-UA"/>
        </w:rPr>
        <w:t>стимулювання населення</w:t>
      </w: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 xml:space="preserve"> до впровадження енергоефективних </w:t>
      </w:r>
      <w:r w:rsidRPr="00C73F8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заходів шляхом</w:t>
      </w: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C73F8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 xml:space="preserve">відшкодування частини суми кредиту, залученого </w:t>
      </w:r>
      <w:r w:rsidRPr="00A0359D">
        <w:rPr>
          <w:rStyle w:val="FontStyle12"/>
          <w:rFonts w:ascii="Times New Roman" w:hAnsi="Times New Roman" w:cs="Times New Roman"/>
          <w:b/>
          <w:sz w:val="24"/>
          <w:szCs w:val="24"/>
          <w:lang w:val="uk-UA" w:eastAsia="uk-UA"/>
        </w:rPr>
        <w:t>для придбання енергоефективного обладнання та/або матеріалів</w:t>
      </w: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, до яких належать:</w:t>
      </w:r>
    </w:p>
    <w:p w:rsidR="00D070ED" w:rsidRPr="00D070ED" w:rsidRDefault="00D070ED" w:rsidP="00D070ED">
      <w:pPr>
        <w:pStyle w:val="Style1"/>
        <w:widowControl/>
        <w:spacing w:after="60" w:line="240" w:lineRule="auto"/>
        <w:ind w:left="363"/>
        <w:rPr>
          <w:rStyle w:val="FontStyle12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D070ED">
        <w:rPr>
          <w:rStyle w:val="FontStyle12"/>
          <w:rFonts w:ascii="Times New Roman" w:hAnsi="Times New Roman" w:cs="Times New Roman"/>
          <w:b/>
          <w:sz w:val="24"/>
          <w:szCs w:val="24"/>
          <w:lang w:val="uk-UA" w:eastAsia="uk-UA"/>
        </w:rPr>
        <w:t>для одно- та двоквартирних житлових будинків</w:t>
      </w:r>
      <w:r>
        <w:rPr>
          <w:rStyle w:val="FontStyle12"/>
          <w:rFonts w:ascii="Times New Roman" w:hAnsi="Times New Roman" w:cs="Times New Roman"/>
          <w:b/>
          <w:sz w:val="24"/>
          <w:szCs w:val="24"/>
          <w:lang w:val="uk-UA" w:eastAsia="uk-UA"/>
        </w:rPr>
        <w:t>:</w:t>
      </w:r>
    </w:p>
    <w:p w:rsidR="003F5936" w:rsidRPr="001F7705" w:rsidRDefault="003F5936" w:rsidP="00135623">
      <w:pPr>
        <w:pStyle w:val="Style3"/>
        <w:widowControl/>
        <w:numPr>
          <w:ilvl w:val="0"/>
          <w:numId w:val="25"/>
        </w:numPr>
        <w:tabs>
          <w:tab w:val="left" w:pos="202"/>
        </w:tabs>
        <w:spacing w:after="60" w:line="240" w:lineRule="auto"/>
        <w:ind w:left="0" w:right="29" w:firstLine="360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радіатори опалення, регулятори температури повітря (в тому числі автоматичні) та відповідне додаткове обладнання і матеріали до них;</w:t>
      </w:r>
    </w:p>
    <w:p w:rsidR="00A53ECB" w:rsidRPr="003F5936" w:rsidRDefault="003F5936" w:rsidP="00135623">
      <w:pPr>
        <w:pStyle w:val="ab"/>
        <w:numPr>
          <w:ilvl w:val="0"/>
          <w:numId w:val="25"/>
        </w:numPr>
        <w:shd w:val="clear" w:color="auto" w:fill="FFFFFF"/>
        <w:spacing w:after="60"/>
        <w:ind w:left="0" w:firstLine="360"/>
        <w:jc w:val="both"/>
        <w:textAlignment w:val="baseline"/>
        <w:rPr>
          <w:sz w:val="24"/>
          <w:bdr w:val="none" w:sz="0" w:space="0" w:color="auto" w:frame="1"/>
          <w:lang w:val="uk-UA" w:eastAsia="uk-UA"/>
        </w:rPr>
      </w:pPr>
      <w:r w:rsidRPr="003F5936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вікна та балконні двері з енергозберігаючим склом (крім однокамерних) та відповідне додаткове обладнання і матеріали до них;</w:t>
      </w:r>
    </w:p>
    <w:p w:rsidR="003F5936" w:rsidRPr="001F7705" w:rsidRDefault="003F5936" w:rsidP="00135623">
      <w:pPr>
        <w:pStyle w:val="Style3"/>
        <w:widowControl/>
        <w:numPr>
          <w:ilvl w:val="0"/>
          <w:numId w:val="25"/>
        </w:numPr>
        <w:tabs>
          <w:tab w:val="left" w:pos="173"/>
        </w:tabs>
        <w:spacing w:after="60" w:line="240" w:lineRule="auto"/>
        <w:ind w:left="0" w:right="22" w:firstLine="360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рекуператори тепла вентиляційного повітря та відповідне додаткове обладнання і матеріали до них;</w:t>
      </w:r>
    </w:p>
    <w:p w:rsidR="003F5936" w:rsidRPr="001F7705" w:rsidRDefault="003F5936" w:rsidP="00135623">
      <w:pPr>
        <w:pStyle w:val="Style3"/>
        <w:widowControl/>
        <w:numPr>
          <w:ilvl w:val="0"/>
          <w:numId w:val="25"/>
        </w:numPr>
        <w:tabs>
          <w:tab w:val="left" w:pos="173"/>
        </w:tabs>
        <w:spacing w:after="60" w:line="240" w:lineRule="auto"/>
        <w:ind w:left="0" w:right="29" w:firstLine="360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вузли обліку води (гарячої, холодної), зокрема засоби вимірювальної техніки (прилади обліку, лічильники) та відповідне додаткове обладнання і матеріали до них;</w:t>
      </w:r>
    </w:p>
    <w:p w:rsidR="003F5936" w:rsidRPr="001F7705" w:rsidRDefault="003F5936" w:rsidP="00135623">
      <w:pPr>
        <w:pStyle w:val="Style3"/>
        <w:widowControl/>
        <w:numPr>
          <w:ilvl w:val="0"/>
          <w:numId w:val="25"/>
        </w:numPr>
        <w:tabs>
          <w:tab w:val="left" w:pos="173"/>
        </w:tabs>
        <w:spacing w:after="60" w:line="240" w:lineRule="auto"/>
        <w:ind w:left="0" w:right="14" w:firstLine="360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багатозонний (багатотарифний) прилад обліку електричної енергії (лічильник активної електричної енергії) та відповідне додаткове обладнання і матеріали до нього;</w:t>
      </w:r>
    </w:p>
    <w:p w:rsidR="003F5936" w:rsidRPr="001F7705" w:rsidRDefault="003F5936" w:rsidP="00135623">
      <w:pPr>
        <w:pStyle w:val="Style3"/>
        <w:widowControl/>
        <w:numPr>
          <w:ilvl w:val="0"/>
          <w:numId w:val="25"/>
        </w:numPr>
        <w:tabs>
          <w:tab w:val="left" w:pos="173"/>
        </w:tabs>
        <w:spacing w:after="60" w:line="240" w:lineRule="auto"/>
        <w:ind w:left="0" w:right="29" w:firstLine="360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обладнання і матеріали для проведення робіт з теплоізоляції (термомодернізації) зовнішніх стін, підвальних приміщень, горищ, покрівель та фундаментів;</w:t>
      </w:r>
    </w:p>
    <w:p w:rsidR="003F5936" w:rsidRPr="001F7705" w:rsidRDefault="003F5936" w:rsidP="00135623">
      <w:pPr>
        <w:pStyle w:val="Style3"/>
        <w:widowControl/>
        <w:numPr>
          <w:ilvl w:val="0"/>
          <w:numId w:val="25"/>
        </w:numPr>
        <w:tabs>
          <w:tab w:val="left" w:pos="173"/>
        </w:tabs>
        <w:spacing w:after="60" w:line="240" w:lineRule="auto"/>
        <w:ind w:left="0" w:firstLine="360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теплонасосна система опалення та/або гарячого водопостачання та відповідне додаткове обладнання і матеріали до неї;</w:t>
      </w:r>
    </w:p>
    <w:p w:rsidR="003F5936" w:rsidRPr="001F7705" w:rsidRDefault="003F5936" w:rsidP="00135623">
      <w:pPr>
        <w:pStyle w:val="Style3"/>
        <w:widowControl/>
        <w:numPr>
          <w:ilvl w:val="0"/>
          <w:numId w:val="25"/>
        </w:numPr>
        <w:tabs>
          <w:tab w:val="left" w:pos="202"/>
        </w:tabs>
        <w:spacing w:after="60" w:line="240" w:lineRule="auto"/>
        <w:ind w:left="0" w:right="7" w:firstLine="360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система сонячного теплопостачання та/або гарячого водопостачання та відповідне додаткове обладнання і матеріали до неї;</w:t>
      </w:r>
    </w:p>
    <w:p w:rsidR="003F5936" w:rsidRPr="00D070ED" w:rsidRDefault="003F5936" w:rsidP="00D070ED">
      <w:pPr>
        <w:pStyle w:val="Style1"/>
        <w:widowControl/>
        <w:spacing w:after="60" w:line="240" w:lineRule="auto"/>
        <w:ind w:left="360"/>
        <w:jc w:val="left"/>
        <w:rPr>
          <w:rStyle w:val="FontStyle12"/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D070ED">
        <w:rPr>
          <w:rStyle w:val="FontStyle12"/>
          <w:rFonts w:ascii="Times New Roman" w:hAnsi="Times New Roman" w:cs="Times New Roman"/>
          <w:b/>
          <w:sz w:val="24"/>
          <w:szCs w:val="24"/>
          <w:lang w:val="uk-UA" w:eastAsia="uk-UA"/>
        </w:rPr>
        <w:t>для квартир багатоквартирних житлових будинків:</w:t>
      </w:r>
    </w:p>
    <w:p w:rsidR="003F5936" w:rsidRPr="001F7705" w:rsidRDefault="003F5936" w:rsidP="00135623">
      <w:pPr>
        <w:pStyle w:val="Style3"/>
        <w:widowControl/>
        <w:numPr>
          <w:ilvl w:val="0"/>
          <w:numId w:val="26"/>
        </w:numPr>
        <w:tabs>
          <w:tab w:val="left" w:pos="202"/>
        </w:tabs>
        <w:spacing w:after="60" w:line="240" w:lineRule="auto"/>
        <w:ind w:left="0" w:right="22" w:firstLine="360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радіатори опалення, регулятори температури повітря (в тому числі автоматичні) та відповідне додаткове обладнання і матеріали до них;</w:t>
      </w:r>
    </w:p>
    <w:p w:rsidR="00A53ECB" w:rsidRPr="003F5936" w:rsidRDefault="003F5936" w:rsidP="00135623">
      <w:pPr>
        <w:pStyle w:val="ab"/>
        <w:numPr>
          <w:ilvl w:val="0"/>
          <w:numId w:val="26"/>
        </w:numPr>
        <w:shd w:val="clear" w:color="auto" w:fill="FFFFFF"/>
        <w:spacing w:after="60"/>
        <w:ind w:left="0" w:firstLine="360"/>
        <w:jc w:val="both"/>
        <w:textAlignment w:val="baseline"/>
        <w:rPr>
          <w:sz w:val="24"/>
          <w:bdr w:val="none" w:sz="0" w:space="0" w:color="auto" w:frame="1"/>
          <w:lang w:val="uk-UA" w:eastAsia="uk-UA"/>
        </w:rPr>
      </w:pPr>
      <w:r w:rsidRPr="003F5936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вікна та балконні двері з енергозберігаючим склом (крім однокамерних) та відповідне додаткове обладна</w:t>
      </w:r>
      <w:r w:rsidR="00D070ED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н</w:t>
      </w:r>
      <w:r w:rsidRPr="003F5936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ня і матеріали до них;</w:t>
      </w:r>
    </w:p>
    <w:p w:rsidR="00D070ED" w:rsidRPr="001F7705" w:rsidRDefault="00D070ED" w:rsidP="00135623">
      <w:pPr>
        <w:pStyle w:val="Style3"/>
        <w:widowControl/>
        <w:numPr>
          <w:ilvl w:val="0"/>
          <w:numId w:val="26"/>
        </w:numPr>
        <w:tabs>
          <w:tab w:val="left" w:pos="173"/>
        </w:tabs>
        <w:spacing w:after="60" w:line="240" w:lineRule="auto"/>
        <w:ind w:left="0" w:right="7" w:firstLine="360"/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</w:pPr>
      <w:r w:rsidRPr="001F7705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вузли обліку води (гарячої, холодної) та теплової енергії, зокрема засоби вимірювальної техніки (прилади обліку, лічильники) та відповідне додаткове обладнання і матеріали до них;</w:t>
      </w:r>
    </w:p>
    <w:p w:rsidR="00A53ECB" w:rsidRPr="00D070ED" w:rsidRDefault="00D070ED" w:rsidP="00135623">
      <w:pPr>
        <w:pStyle w:val="ab"/>
        <w:numPr>
          <w:ilvl w:val="0"/>
          <w:numId w:val="26"/>
        </w:numPr>
        <w:shd w:val="clear" w:color="auto" w:fill="FFFFFF"/>
        <w:spacing w:after="60"/>
        <w:ind w:left="0" w:firstLine="360"/>
        <w:jc w:val="both"/>
        <w:textAlignment w:val="baseline"/>
        <w:rPr>
          <w:sz w:val="24"/>
          <w:bdr w:val="none" w:sz="0" w:space="0" w:color="auto" w:frame="1"/>
          <w:lang w:val="uk-UA" w:eastAsia="uk-UA"/>
        </w:rPr>
      </w:pPr>
      <w:r w:rsidRPr="00D070ED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багатозонний (багатотариф</w:t>
      </w:r>
      <w:r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н</w:t>
      </w:r>
      <w:r w:rsidRPr="00D070ED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ий) прилад обліку електричної енергії (лічильник активної електричної енергії) та відповідне додаткове обладнання і матеріали до нього</w:t>
      </w:r>
      <w:r w:rsidR="001A4CBF">
        <w:rPr>
          <w:rStyle w:val="FontStyle12"/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E667E4" w:rsidRPr="00E37006" w:rsidRDefault="00E667E4" w:rsidP="00A53ECB">
      <w:pPr>
        <w:tabs>
          <w:tab w:val="left" w:pos="0"/>
        </w:tabs>
        <w:spacing w:after="60"/>
        <w:ind w:firstLine="709"/>
        <w:jc w:val="both"/>
        <w:rPr>
          <w:sz w:val="24"/>
          <w:lang w:val="uk-UA"/>
        </w:rPr>
      </w:pPr>
      <w:r w:rsidRPr="00490277">
        <w:rPr>
          <w:sz w:val="24"/>
          <w:lang w:val="uk-UA"/>
        </w:rPr>
        <w:t>2.3</w:t>
      </w:r>
      <w:r w:rsidR="007B2320">
        <w:rPr>
          <w:sz w:val="24"/>
          <w:lang w:val="uk-UA"/>
        </w:rPr>
        <w:t>.</w:t>
      </w:r>
      <w:r w:rsidRPr="00490277">
        <w:rPr>
          <w:sz w:val="24"/>
          <w:lang w:val="uk-UA"/>
        </w:rPr>
        <w:t xml:space="preserve"> </w:t>
      </w:r>
      <w:r w:rsidRPr="00E37006">
        <w:rPr>
          <w:sz w:val="24"/>
          <w:lang w:val="uk-UA"/>
        </w:rPr>
        <w:t xml:space="preserve">Розмір відшкодування </w:t>
      </w:r>
      <w:r w:rsidR="002A609B" w:rsidRPr="00E37006">
        <w:rPr>
          <w:sz w:val="24"/>
          <w:lang w:val="uk-UA"/>
        </w:rPr>
        <w:t xml:space="preserve">частини </w:t>
      </w:r>
      <w:r w:rsidRPr="00E37006">
        <w:rPr>
          <w:sz w:val="24"/>
          <w:lang w:val="uk-UA"/>
        </w:rPr>
        <w:t xml:space="preserve">відсотків за надані кредитно-фінансовими установами кредити становить </w:t>
      </w:r>
      <w:r w:rsidR="001A4CBF" w:rsidRPr="00683473">
        <w:rPr>
          <w:b/>
          <w:sz w:val="24"/>
          <w:lang w:val="uk-UA"/>
        </w:rPr>
        <w:t>дві</w:t>
      </w:r>
      <w:r w:rsidRPr="00683473">
        <w:rPr>
          <w:b/>
          <w:sz w:val="24"/>
          <w:lang w:val="uk-UA"/>
        </w:rPr>
        <w:t xml:space="preserve"> обліков</w:t>
      </w:r>
      <w:r w:rsidR="001A4CBF" w:rsidRPr="00683473">
        <w:rPr>
          <w:b/>
          <w:sz w:val="24"/>
          <w:lang w:val="uk-UA"/>
        </w:rPr>
        <w:t>і</w:t>
      </w:r>
      <w:r w:rsidRPr="00683473">
        <w:rPr>
          <w:b/>
          <w:sz w:val="24"/>
          <w:lang w:val="uk-UA"/>
        </w:rPr>
        <w:t xml:space="preserve"> відсотков</w:t>
      </w:r>
      <w:r w:rsidR="001A4CBF" w:rsidRPr="00683473">
        <w:rPr>
          <w:b/>
          <w:sz w:val="24"/>
          <w:lang w:val="uk-UA"/>
        </w:rPr>
        <w:t>і</w:t>
      </w:r>
      <w:r w:rsidRPr="00683473">
        <w:rPr>
          <w:b/>
          <w:sz w:val="24"/>
          <w:lang w:val="uk-UA"/>
        </w:rPr>
        <w:t xml:space="preserve"> ставк</w:t>
      </w:r>
      <w:r w:rsidR="001A4CBF" w:rsidRPr="00683473">
        <w:rPr>
          <w:b/>
          <w:sz w:val="24"/>
          <w:lang w:val="uk-UA"/>
        </w:rPr>
        <w:t>и</w:t>
      </w:r>
      <w:r w:rsidRPr="00E37006">
        <w:rPr>
          <w:sz w:val="24"/>
          <w:lang w:val="uk-UA"/>
        </w:rPr>
        <w:t xml:space="preserve"> Національного Банку України, але </w:t>
      </w:r>
      <w:r w:rsidRPr="00683473">
        <w:rPr>
          <w:b/>
          <w:sz w:val="24"/>
          <w:lang w:val="uk-UA"/>
        </w:rPr>
        <w:t>не більше ніж відсоткова ставка, передбачена кредитною угодою, а також не більше 25%.</w:t>
      </w:r>
    </w:p>
    <w:p w:rsidR="00E667E4" w:rsidRPr="00490277" w:rsidRDefault="00E667E4" w:rsidP="0035474B">
      <w:pPr>
        <w:tabs>
          <w:tab w:val="left" w:pos="0"/>
        </w:tabs>
        <w:spacing w:after="60"/>
        <w:ind w:firstLine="709"/>
        <w:jc w:val="both"/>
        <w:rPr>
          <w:sz w:val="24"/>
          <w:lang w:val="uk-UA"/>
        </w:rPr>
      </w:pPr>
      <w:r w:rsidRPr="00E37006">
        <w:rPr>
          <w:sz w:val="24"/>
          <w:lang w:val="uk-UA"/>
        </w:rPr>
        <w:t>2.4</w:t>
      </w:r>
      <w:r w:rsidR="007B2320">
        <w:rPr>
          <w:sz w:val="24"/>
          <w:lang w:val="uk-UA"/>
        </w:rPr>
        <w:t>.</w:t>
      </w:r>
      <w:r w:rsidRPr="00E37006">
        <w:rPr>
          <w:sz w:val="24"/>
          <w:lang w:val="uk-UA"/>
        </w:rPr>
        <w:t xml:space="preserve"> </w:t>
      </w:r>
      <w:r w:rsidRPr="00E37006">
        <w:rPr>
          <w:sz w:val="24"/>
          <w:bdr w:val="none" w:sz="0" w:space="0" w:color="auto" w:frame="1"/>
          <w:lang w:val="uk-UA" w:eastAsia="uk-UA"/>
        </w:rPr>
        <w:t xml:space="preserve">Відбір учасників </w:t>
      </w:r>
      <w:r w:rsidRPr="00E37006">
        <w:rPr>
          <w:sz w:val="24"/>
          <w:lang w:val="uk-UA"/>
        </w:rPr>
        <w:t xml:space="preserve">на відшкодування </w:t>
      </w:r>
      <w:r w:rsidR="002A609B" w:rsidRPr="00E37006">
        <w:rPr>
          <w:sz w:val="24"/>
          <w:lang w:val="uk-UA"/>
        </w:rPr>
        <w:t xml:space="preserve">частини </w:t>
      </w:r>
      <w:r w:rsidRPr="00E37006">
        <w:rPr>
          <w:sz w:val="24"/>
          <w:lang w:val="uk-UA"/>
        </w:rPr>
        <w:t>відсоткових ставок за залученими в кредитно-фінансових установах кредитами</w:t>
      </w:r>
      <w:r w:rsidRPr="00E37006">
        <w:rPr>
          <w:sz w:val="24"/>
          <w:bdr w:val="none" w:sz="0" w:space="0" w:color="auto" w:frame="1"/>
          <w:lang w:val="uk-UA" w:eastAsia="uk-UA"/>
        </w:rPr>
        <w:t>, проводиться комісією, яка утворюється розпорядженням міського голови,</w:t>
      </w:r>
      <w:r w:rsidRPr="00490277">
        <w:rPr>
          <w:sz w:val="24"/>
          <w:bdr w:val="none" w:sz="0" w:space="0" w:color="auto" w:frame="1"/>
          <w:lang w:val="uk-UA" w:eastAsia="uk-UA"/>
        </w:rPr>
        <w:t xml:space="preserve"> у складі представників виконавчих органів міської ради, </w:t>
      </w:r>
      <w:r w:rsidR="00683473" w:rsidRPr="00683473">
        <w:rPr>
          <w:b/>
          <w:sz w:val="24"/>
          <w:lang w:val="uk-UA"/>
        </w:rPr>
        <w:t>кредитно-фінансових установ</w:t>
      </w:r>
      <w:r w:rsidR="00683473">
        <w:rPr>
          <w:sz w:val="24"/>
          <w:lang w:val="uk-UA"/>
        </w:rPr>
        <w:t>,</w:t>
      </w:r>
      <w:r w:rsidR="00683473" w:rsidRPr="00E37006">
        <w:rPr>
          <w:sz w:val="24"/>
          <w:lang w:val="uk-UA"/>
        </w:rPr>
        <w:t xml:space="preserve"> </w:t>
      </w:r>
      <w:r w:rsidRPr="00490277">
        <w:rPr>
          <w:sz w:val="24"/>
          <w:bdr w:val="none" w:sz="0" w:space="0" w:color="auto" w:frame="1"/>
          <w:lang w:val="uk-UA" w:eastAsia="uk-UA"/>
        </w:rPr>
        <w:t>громадських організацій, що сприяють діяльності об’єднань співвласників багатоквартирних будинків</w:t>
      </w:r>
      <w:r w:rsidR="002A609B">
        <w:rPr>
          <w:sz w:val="24"/>
          <w:bdr w:val="none" w:sz="0" w:space="0" w:color="auto" w:frame="1"/>
          <w:lang w:val="uk-UA" w:eastAsia="uk-UA"/>
        </w:rPr>
        <w:t xml:space="preserve"> та</w:t>
      </w:r>
      <w:r w:rsidR="002A609B" w:rsidRPr="003134BD">
        <w:rPr>
          <w:sz w:val="24"/>
          <w:bdr w:val="none" w:sz="0" w:space="0" w:color="auto" w:frame="1"/>
          <w:lang w:val="uk-UA" w:eastAsia="uk-UA"/>
        </w:rPr>
        <w:t xml:space="preserve"> </w:t>
      </w:r>
      <w:r w:rsidR="002A609B" w:rsidRPr="003134BD">
        <w:rPr>
          <w:rFonts w:cs="Arial"/>
          <w:sz w:val="24"/>
          <w:bdr w:val="none" w:sz="0" w:space="0" w:color="auto" w:frame="1"/>
          <w:lang w:val="uk-UA" w:eastAsia="uk-UA"/>
        </w:rPr>
        <w:t>орган</w:t>
      </w:r>
      <w:r w:rsidR="002A609B">
        <w:rPr>
          <w:rFonts w:cs="Arial"/>
          <w:sz w:val="24"/>
          <w:bdr w:val="none" w:sz="0" w:space="0" w:color="auto" w:frame="1"/>
          <w:lang w:val="uk-UA" w:eastAsia="uk-UA"/>
        </w:rPr>
        <w:t>ів</w:t>
      </w:r>
      <w:r w:rsidR="002A609B" w:rsidRPr="003134BD">
        <w:rPr>
          <w:rFonts w:cs="Arial"/>
          <w:sz w:val="24"/>
          <w:bdr w:val="none" w:sz="0" w:space="0" w:color="auto" w:frame="1"/>
          <w:lang w:val="uk-UA" w:eastAsia="uk-UA"/>
        </w:rPr>
        <w:t xml:space="preserve"> самоорганізації населення – будинков</w:t>
      </w:r>
      <w:r w:rsidR="002A609B">
        <w:rPr>
          <w:rFonts w:cs="Arial"/>
          <w:sz w:val="24"/>
          <w:bdr w:val="none" w:sz="0" w:space="0" w:color="auto" w:frame="1"/>
          <w:lang w:val="uk-UA" w:eastAsia="uk-UA"/>
        </w:rPr>
        <w:t>их</w:t>
      </w:r>
      <w:r w:rsidR="002A609B" w:rsidRPr="003134BD">
        <w:rPr>
          <w:rFonts w:cs="Arial"/>
          <w:sz w:val="24"/>
          <w:bdr w:val="none" w:sz="0" w:space="0" w:color="auto" w:frame="1"/>
          <w:lang w:val="uk-UA" w:eastAsia="uk-UA"/>
        </w:rPr>
        <w:t xml:space="preserve"> комітет</w:t>
      </w:r>
      <w:r w:rsidR="002A609B">
        <w:rPr>
          <w:rFonts w:cs="Arial"/>
          <w:sz w:val="24"/>
          <w:bdr w:val="none" w:sz="0" w:space="0" w:color="auto" w:frame="1"/>
          <w:lang w:val="uk-UA" w:eastAsia="uk-UA"/>
        </w:rPr>
        <w:t>ів,</w:t>
      </w:r>
      <w:r w:rsidRPr="00490277">
        <w:rPr>
          <w:sz w:val="24"/>
          <w:bdr w:val="none" w:sz="0" w:space="0" w:color="auto" w:frame="1"/>
          <w:lang w:val="uk-UA" w:eastAsia="uk-UA"/>
        </w:rPr>
        <w:t xml:space="preserve"> депутатів </w:t>
      </w:r>
      <w:r w:rsidR="0035474B">
        <w:rPr>
          <w:sz w:val="24"/>
          <w:bdr w:val="none" w:sz="0" w:space="0" w:color="auto" w:frame="1"/>
          <w:lang w:val="uk-UA" w:eastAsia="uk-UA"/>
        </w:rPr>
        <w:t>Сєвєродонець</w:t>
      </w:r>
      <w:r w:rsidRPr="00490277">
        <w:rPr>
          <w:sz w:val="24"/>
          <w:bdr w:val="none" w:sz="0" w:space="0" w:color="auto" w:frame="1"/>
          <w:lang w:val="uk-UA" w:eastAsia="uk-UA"/>
        </w:rPr>
        <w:t xml:space="preserve">кої міської </w:t>
      </w:r>
      <w:r w:rsidRPr="00490277">
        <w:rPr>
          <w:sz w:val="24"/>
          <w:bdr w:val="none" w:sz="0" w:space="0" w:color="auto" w:frame="1"/>
          <w:lang w:val="uk-UA" w:eastAsia="uk-UA"/>
        </w:rPr>
        <w:lastRenderedPageBreak/>
        <w:t>ради (далі - Комісія). Кількісний та персональний склад Комісії визначається розпорядженням міського голови. Очолює комісію заступник міського голови.</w:t>
      </w:r>
    </w:p>
    <w:p w:rsidR="00E667E4" w:rsidRPr="00490277" w:rsidRDefault="00E667E4" w:rsidP="0035474B">
      <w:pPr>
        <w:shd w:val="clear" w:color="auto" w:fill="FFFFFF"/>
        <w:spacing w:after="60"/>
        <w:ind w:firstLine="709"/>
        <w:jc w:val="both"/>
        <w:textAlignment w:val="baseline"/>
        <w:rPr>
          <w:sz w:val="24"/>
          <w:lang w:val="uk-UA"/>
        </w:rPr>
      </w:pPr>
      <w:r w:rsidRPr="00490277">
        <w:rPr>
          <w:sz w:val="24"/>
          <w:lang w:val="uk-UA"/>
        </w:rPr>
        <w:t>2.5</w:t>
      </w:r>
      <w:r w:rsidR="007B2320">
        <w:rPr>
          <w:sz w:val="24"/>
          <w:lang w:val="uk-UA"/>
        </w:rPr>
        <w:t>.</w:t>
      </w:r>
      <w:r w:rsidRPr="00490277">
        <w:rPr>
          <w:sz w:val="24"/>
          <w:lang w:val="uk-UA"/>
        </w:rPr>
        <w:t xml:space="preserve"> Відбір здійснюється за заявами Позичальників на поточний бюджетний рік. </w:t>
      </w:r>
      <w:r w:rsidRPr="00490277">
        <w:rPr>
          <w:sz w:val="24"/>
          <w:bdr w:val="none" w:sz="0" w:space="0" w:color="auto" w:frame="1"/>
          <w:lang w:val="uk-UA" w:eastAsia="uk-UA"/>
        </w:rPr>
        <w:t xml:space="preserve">До заяви, на розгляд Комісії, Позичальник подає </w:t>
      </w:r>
      <w:r w:rsidR="003D4202">
        <w:rPr>
          <w:sz w:val="24"/>
          <w:bdr w:val="none" w:sz="0" w:space="0" w:color="auto" w:frame="1"/>
          <w:lang w:val="uk-UA" w:eastAsia="uk-UA"/>
        </w:rPr>
        <w:t xml:space="preserve">копію </w:t>
      </w:r>
      <w:r w:rsidRPr="00490277">
        <w:rPr>
          <w:sz w:val="24"/>
          <w:lang w:val="uk-UA"/>
        </w:rPr>
        <w:t>кредитн</w:t>
      </w:r>
      <w:r w:rsidR="003D4202">
        <w:rPr>
          <w:sz w:val="24"/>
          <w:lang w:val="uk-UA"/>
        </w:rPr>
        <w:t>ого</w:t>
      </w:r>
      <w:r w:rsidRPr="00490277">
        <w:rPr>
          <w:sz w:val="24"/>
          <w:lang w:val="uk-UA"/>
        </w:rPr>
        <w:t xml:space="preserve"> догов</w:t>
      </w:r>
      <w:r w:rsidR="003D4202">
        <w:rPr>
          <w:sz w:val="24"/>
          <w:lang w:val="uk-UA"/>
        </w:rPr>
        <w:t>о</w:t>
      </w:r>
      <w:r w:rsidRPr="00490277">
        <w:rPr>
          <w:sz w:val="24"/>
          <w:lang w:val="uk-UA"/>
        </w:rPr>
        <w:t>р</w:t>
      </w:r>
      <w:r w:rsidR="003D4202">
        <w:rPr>
          <w:sz w:val="24"/>
          <w:lang w:val="uk-UA"/>
        </w:rPr>
        <w:t>у</w:t>
      </w:r>
      <w:r w:rsidRPr="00490277">
        <w:rPr>
          <w:sz w:val="24"/>
          <w:lang w:val="uk-UA"/>
        </w:rPr>
        <w:t>, укладен</w:t>
      </w:r>
      <w:r w:rsidR="003D4202">
        <w:rPr>
          <w:sz w:val="24"/>
          <w:lang w:val="uk-UA"/>
        </w:rPr>
        <w:t>ого</w:t>
      </w:r>
      <w:r w:rsidRPr="00490277">
        <w:rPr>
          <w:sz w:val="24"/>
          <w:lang w:val="uk-UA"/>
        </w:rPr>
        <w:t xml:space="preserve"> з кредитно-фінансовою установою</w:t>
      </w:r>
      <w:r w:rsidR="000D725E">
        <w:rPr>
          <w:sz w:val="24"/>
          <w:lang w:val="uk-UA"/>
        </w:rPr>
        <w:t xml:space="preserve">, яка згідно укладеного з розпорядником коштів - </w:t>
      </w:r>
      <w:r w:rsidR="000D725E" w:rsidRPr="000D725E">
        <w:rPr>
          <w:sz w:val="24"/>
          <w:lang w:val="uk-UA"/>
        </w:rPr>
        <w:t>управління</w:t>
      </w:r>
      <w:r w:rsidR="000D725E">
        <w:rPr>
          <w:sz w:val="24"/>
          <w:lang w:val="uk-UA"/>
        </w:rPr>
        <w:t>м</w:t>
      </w:r>
      <w:r w:rsidR="000D725E" w:rsidRPr="000D725E">
        <w:rPr>
          <w:sz w:val="24"/>
          <w:lang w:val="uk-UA"/>
        </w:rPr>
        <w:t xml:space="preserve"> житлово-комунального господарства</w:t>
      </w:r>
      <w:r w:rsidR="000D725E">
        <w:rPr>
          <w:sz w:val="24"/>
          <w:lang w:val="uk-UA"/>
        </w:rPr>
        <w:t xml:space="preserve"> договору, надає</w:t>
      </w:r>
      <w:r w:rsidR="007B2320" w:rsidRPr="003D4202">
        <w:rPr>
          <w:sz w:val="24"/>
          <w:lang w:val="uk-UA"/>
        </w:rPr>
        <w:t xml:space="preserve"> </w:t>
      </w:r>
      <w:r w:rsidR="000D725E">
        <w:rPr>
          <w:sz w:val="24"/>
          <w:lang w:val="uk-UA"/>
        </w:rPr>
        <w:t xml:space="preserve">Комісії </w:t>
      </w:r>
      <w:r w:rsidR="007B2320" w:rsidRPr="003D4202">
        <w:rPr>
          <w:sz w:val="24"/>
          <w:lang w:val="uk-UA"/>
        </w:rPr>
        <w:t>інформаці</w:t>
      </w:r>
      <w:r w:rsidR="000D725E">
        <w:rPr>
          <w:sz w:val="24"/>
          <w:lang w:val="uk-UA"/>
        </w:rPr>
        <w:t>ю</w:t>
      </w:r>
      <w:r w:rsidR="007B2320" w:rsidRPr="003D4202">
        <w:rPr>
          <w:sz w:val="24"/>
          <w:lang w:val="uk-UA"/>
        </w:rPr>
        <w:t xml:space="preserve"> про сплачені позичальником відсотки.</w:t>
      </w:r>
    </w:p>
    <w:p w:rsidR="00E667E4" w:rsidRPr="00490277" w:rsidRDefault="00E667E4" w:rsidP="00E922A7">
      <w:pPr>
        <w:tabs>
          <w:tab w:val="left" w:pos="0"/>
        </w:tabs>
        <w:spacing w:after="60"/>
        <w:ind w:right="-144" w:firstLine="709"/>
        <w:jc w:val="both"/>
        <w:rPr>
          <w:sz w:val="24"/>
          <w:lang w:val="uk-UA"/>
        </w:rPr>
      </w:pPr>
      <w:r w:rsidRPr="00490277">
        <w:rPr>
          <w:sz w:val="24"/>
          <w:lang w:val="uk-UA"/>
        </w:rPr>
        <w:t>2.6</w:t>
      </w:r>
      <w:r w:rsidR="007B2320">
        <w:rPr>
          <w:sz w:val="24"/>
          <w:lang w:val="uk-UA"/>
        </w:rPr>
        <w:t>.</w:t>
      </w:r>
      <w:r w:rsidRPr="00490277">
        <w:rPr>
          <w:sz w:val="24"/>
          <w:lang w:val="uk-UA"/>
        </w:rPr>
        <w:t xml:space="preserve"> Основними критеріями відбору є наявність у проекті заходів, спрямованих на: </w:t>
      </w:r>
    </w:p>
    <w:p w:rsidR="00E667E4" w:rsidRPr="00490277" w:rsidRDefault="00E667E4" w:rsidP="0035474B">
      <w:pPr>
        <w:tabs>
          <w:tab w:val="left" w:pos="0"/>
        </w:tabs>
        <w:spacing w:after="60"/>
        <w:ind w:firstLine="709"/>
        <w:jc w:val="both"/>
        <w:rPr>
          <w:sz w:val="24"/>
          <w:lang w:val="uk-UA"/>
        </w:rPr>
      </w:pPr>
      <w:r w:rsidRPr="00490277">
        <w:rPr>
          <w:sz w:val="24"/>
          <w:lang w:val="uk-UA"/>
        </w:rPr>
        <w:t>- зменшення обсягу споживання енергоресурсів;</w:t>
      </w:r>
    </w:p>
    <w:p w:rsidR="00E667E4" w:rsidRPr="00490277" w:rsidRDefault="00E667E4" w:rsidP="0035474B">
      <w:pPr>
        <w:widowControl w:val="0"/>
        <w:shd w:val="clear" w:color="auto" w:fill="FFFFFF"/>
        <w:tabs>
          <w:tab w:val="left" w:pos="875"/>
        </w:tabs>
        <w:autoSpaceDE w:val="0"/>
        <w:spacing w:after="60"/>
        <w:ind w:right="-20" w:firstLine="709"/>
        <w:rPr>
          <w:sz w:val="24"/>
          <w:lang w:val="uk-UA"/>
        </w:rPr>
      </w:pPr>
      <w:r w:rsidRPr="00490277">
        <w:rPr>
          <w:sz w:val="24"/>
          <w:lang w:val="uk-UA"/>
        </w:rPr>
        <w:t>- підвищення комфортності умов проживання в оселях жителів міста;</w:t>
      </w:r>
    </w:p>
    <w:p w:rsidR="00E667E4" w:rsidRPr="00490277" w:rsidRDefault="0035474B" w:rsidP="0035474B">
      <w:pPr>
        <w:widowControl w:val="0"/>
        <w:shd w:val="clear" w:color="auto" w:fill="FFFFFF"/>
        <w:tabs>
          <w:tab w:val="left" w:pos="720"/>
        </w:tabs>
        <w:autoSpaceDE w:val="0"/>
        <w:spacing w:after="60"/>
        <w:ind w:right="-20"/>
        <w:rPr>
          <w:sz w:val="24"/>
          <w:lang w:val="uk-UA"/>
        </w:rPr>
      </w:pPr>
      <w:r>
        <w:rPr>
          <w:sz w:val="24"/>
          <w:lang w:val="uk-UA"/>
        </w:rPr>
        <w:tab/>
      </w:r>
      <w:r w:rsidR="00E667E4" w:rsidRPr="00490277">
        <w:rPr>
          <w:sz w:val="24"/>
          <w:lang w:val="uk-UA"/>
        </w:rPr>
        <w:t>- зменшення фінансового навантаження на мешканців.</w:t>
      </w:r>
    </w:p>
    <w:p w:rsidR="00E667E4" w:rsidRPr="00490277" w:rsidRDefault="00E667E4" w:rsidP="0035474B">
      <w:pPr>
        <w:widowControl w:val="0"/>
        <w:shd w:val="clear" w:color="auto" w:fill="FFFFFF"/>
        <w:tabs>
          <w:tab w:val="left" w:pos="875"/>
        </w:tabs>
        <w:autoSpaceDE w:val="0"/>
        <w:spacing w:after="60"/>
        <w:ind w:right="-20" w:firstLine="709"/>
        <w:jc w:val="both"/>
        <w:rPr>
          <w:sz w:val="24"/>
          <w:lang w:val="uk-UA"/>
        </w:rPr>
      </w:pPr>
      <w:r w:rsidRPr="00490277">
        <w:rPr>
          <w:sz w:val="24"/>
          <w:lang w:val="uk-UA"/>
        </w:rPr>
        <w:t>2.7</w:t>
      </w:r>
      <w:r w:rsidR="007B2320">
        <w:rPr>
          <w:sz w:val="24"/>
          <w:lang w:val="uk-UA"/>
        </w:rPr>
        <w:t>.</w:t>
      </w:r>
      <w:r w:rsidRPr="00490277">
        <w:rPr>
          <w:sz w:val="24"/>
          <w:lang w:val="uk-UA"/>
        </w:rPr>
        <w:t xml:space="preserve"> Рішення Комісії приймається на засіданні у присутності не менше двох третин її складу відкритим голосуванням простою більшістю голосів і оформлюється протоколом, який підписується </w:t>
      </w:r>
      <w:r w:rsidR="000D725E">
        <w:rPr>
          <w:sz w:val="24"/>
          <w:lang w:val="uk-UA"/>
        </w:rPr>
        <w:t>головою та секретарем</w:t>
      </w:r>
      <w:r w:rsidRPr="00490277">
        <w:rPr>
          <w:sz w:val="24"/>
          <w:lang w:val="uk-UA"/>
        </w:rPr>
        <w:t xml:space="preserve"> Комісії</w:t>
      </w:r>
      <w:r w:rsidR="000D725E">
        <w:rPr>
          <w:sz w:val="24"/>
          <w:lang w:val="uk-UA"/>
        </w:rPr>
        <w:t xml:space="preserve"> та надається усім членам Комісії</w:t>
      </w:r>
      <w:r w:rsidRPr="00490277">
        <w:rPr>
          <w:sz w:val="24"/>
          <w:lang w:val="uk-UA"/>
        </w:rPr>
        <w:t>, які брали участь у голосуванні.</w:t>
      </w:r>
    </w:p>
    <w:p w:rsidR="00E667E4" w:rsidRPr="00490277" w:rsidRDefault="00E667E4" w:rsidP="0035474B">
      <w:pPr>
        <w:widowControl w:val="0"/>
        <w:shd w:val="clear" w:color="auto" w:fill="FFFFFF"/>
        <w:tabs>
          <w:tab w:val="left" w:pos="875"/>
        </w:tabs>
        <w:autoSpaceDE w:val="0"/>
        <w:spacing w:after="60"/>
        <w:ind w:right="-20" w:firstLine="709"/>
        <w:jc w:val="both"/>
        <w:rPr>
          <w:sz w:val="24"/>
          <w:lang w:val="uk-UA"/>
        </w:rPr>
      </w:pPr>
      <w:r w:rsidRPr="00490277">
        <w:rPr>
          <w:sz w:val="24"/>
          <w:lang w:val="uk-UA"/>
        </w:rPr>
        <w:t>У разі рівної кількості голосів, голос голови на засіданні Комісії є вирішальним.</w:t>
      </w:r>
    </w:p>
    <w:p w:rsidR="00E667E4" w:rsidRPr="00490277" w:rsidRDefault="00E667E4" w:rsidP="0035474B">
      <w:pPr>
        <w:widowControl w:val="0"/>
        <w:shd w:val="clear" w:color="auto" w:fill="FFFFFF"/>
        <w:tabs>
          <w:tab w:val="left" w:pos="875"/>
        </w:tabs>
        <w:autoSpaceDE w:val="0"/>
        <w:spacing w:after="60"/>
        <w:ind w:right="-20" w:firstLine="709"/>
        <w:jc w:val="both"/>
        <w:rPr>
          <w:sz w:val="24"/>
          <w:lang w:val="uk-UA"/>
        </w:rPr>
      </w:pPr>
      <w:r w:rsidRPr="00490277">
        <w:rPr>
          <w:sz w:val="24"/>
          <w:lang w:val="uk-UA"/>
        </w:rPr>
        <w:t xml:space="preserve">За результатами відбору Комісія визначає позичальників на відшкодування </w:t>
      </w:r>
      <w:r w:rsidR="00EF7C0D">
        <w:rPr>
          <w:sz w:val="24"/>
          <w:lang w:val="uk-UA"/>
        </w:rPr>
        <w:t xml:space="preserve">частини </w:t>
      </w:r>
      <w:r w:rsidRPr="00490277">
        <w:rPr>
          <w:sz w:val="24"/>
          <w:lang w:val="uk-UA"/>
        </w:rPr>
        <w:t xml:space="preserve">відсоткових ставок за залученими в кредитно-фінансових установах кредитами. Термін розгляду заяви два тижні. </w:t>
      </w:r>
    </w:p>
    <w:p w:rsidR="00E667E4" w:rsidRPr="00490277" w:rsidRDefault="00E667E4" w:rsidP="0035474B">
      <w:pPr>
        <w:widowControl w:val="0"/>
        <w:shd w:val="clear" w:color="auto" w:fill="FFFFFF"/>
        <w:tabs>
          <w:tab w:val="left" w:pos="875"/>
        </w:tabs>
        <w:autoSpaceDE w:val="0"/>
        <w:spacing w:after="60"/>
        <w:ind w:right="-20" w:firstLine="709"/>
        <w:jc w:val="both"/>
        <w:rPr>
          <w:sz w:val="24"/>
          <w:lang w:val="uk-UA"/>
        </w:rPr>
      </w:pPr>
      <w:r w:rsidRPr="00490277">
        <w:rPr>
          <w:sz w:val="24"/>
          <w:lang w:val="uk-UA"/>
        </w:rPr>
        <w:t xml:space="preserve">2.8. </w:t>
      </w:r>
      <w:r w:rsidR="0035474B">
        <w:rPr>
          <w:sz w:val="24"/>
          <w:lang w:val="uk-UA"/>
        </w:rPr>
        <w:t>Управління</w:t>
      </w:r>
      <w:r w:rsidRPr="00490277">
        <w:rPr>
          <w:sz w:val="24"/>
          <w:lang w:val="uk-UA"/>
        </w:rPr>
        <w:t xml:space="preserve"> житлово-комунального господарства на підставі </w:t>
      </w:r>
      <w:r w:rsidR="000D725E">
        <w:rPr>
          <w:sz w:val="24"/>
          <w:lang w:val="uk-UA"/>
        </w:rPr>
        <w:t xml:space="preserve">протокольного </w:t>
      </w:r>
      <w:r w:rsidRPr="00490277">
        <w:rPr>
          <w:sz w:val="24"/>
          <w:lang w:val="uk-UA"/>
        </w:rPr>
        <w:t xml:space="preserve">рішення </w:t>
      </w:r>
      <w:r w:rsidR="000D725E">
        <w:rPr>
          <w:sz w:val="24"/>
          <w:lang w:val="uk-UA"/>
        </w:rPr>
        <w:t>Комісії</w:t>
      </w:r>
      <w:r w:rsidRPr="00490277">
        <w:rPr>
          <w:sz w:val="24"/>
          <w:lang w:val="uk-UA"/>
        </w:rPr>
        <w:t xml:space="preserve"> укладає договір з Позичальником на відшкодування </w:t>
      </w:r>
      <w:r w:rsidR="00EF7C0D">
        <w:rPr>
          <w:sz w:val="24"/>
          <w:lang w:val="uk-UA"/>
        </w:rPr>
        <w:t xml:space="preserve">частини </w:t>
      </w:r>
      <w:r w:rsidRPr="00490277">
        <w:rPr>
          <w:sz w:val="24"/>
          <w:lang w:val="uk-UA"/>
        </w:rPr>
        <w:t>відсотків по кредиту.</w:t>
      </w:r>
    </w:p>
    <w:p w:rsidR="007B2320" w:rsidRPr="000D725E" w:rsidRDefault="00E667E4" w:rsidP="00EB0FDE">
      <w:pPr>
        <w:widowControl w:val="0"/>
        <w:shd w:val="clear" w:color="auto" w:fill="FFFFFF"/>
        <w:tabs>
          <w:tab w:val="left" w:pos="875"/>
        </w:tabs>
        <w:autoSpaceDE w:val="0"/>
        <w:spacing w:after="60"/>
        <w:ind w:right="-20" w:firstLine="709"/>
        <w:jc w:val="both"/>
        <w:rPr>
          <w:sz w:val="24"/>
          <w:lang w:val="uk-UA"/>
        </w:rPr>
      </w:pPr>
      <w:r w:rsidRPr="00490277">
        <w:rPr>
          <w:sz w:val="24"/>
          <w:lang w:val="uk-UA"/>
        </w:rPr>
        <w:t>2.9</w:t>
      </w:r>
      <w:r w:rsidR="007B2320">
        <w:rPr>
          <w:sz w:val="24"/>
          <w:lang w:val="uk-UA"/>
        </w:rPr>
        <w:t>.</w:t>
      </w:r>
      <w:r w:rsidRPr="00490277">
        <w:rPr>
          <w:sz w:val="24"/>
          <w:lang w:val="uk-UA"/>
        </w:rPr>
        <w:t xml:space="preserve"> </w:t>
      </w:r>
      <w:r w:rsidR="004233E2" w:rsidRPr="000D725E">
        <w:rPr>
          <w:sz w:val="24"/>
          <w:lang w:val="uk-UA"/>
        </w:rPr>
        <w:t>Затверджені Програмою с</w:t>
      </w:r>
      <w:r w:rsidR="007B2320" w:rsidRPr="000D725E">
        <w:rPr>
          <w:sz w:val="24"/>
          <w:lang w:val="uk-UA"/>
        </w:rPr>
        <w:t>уми коштів на відшкодування уточнюються на кожний поточний бюджетний рік при затвердженні бюджету міста за бюджетним запитом розпорядника коштів - управління житлово-комунального господарства</w:t>
      </w:r>
      <w:r w:rsidR="00EB0FDE" w:rsidRPr="000D725E">
        <w:rPr>
          <w:sz w:val="24"/>
          <w:lang w:val="uk-UA"/>
        </w:rPr>
        <w:t xml:space="preserve"> та при необхідності корегуються</w:t>
      </w:r>
      <w:r w:rsidR="007B2320" w:rsidRPr="000D725E">
        <w:rPr>
          <w:sz w:val="24"/>
          <w:lang w:val="uk-UA"/>
        </w:rPr>
        <w:t>.</w:t>
      </w:r>
    </w:p>
    <w:p w:rsidR="00E667E4" w:rsidRDefault="00E667E4" w:rsidP="0035474B">
      <w:pPr>
        <w:tabs>
          <w:tab w:val="left" w:pos="0"/>
        </w:tabs>
        <w:spacing w:after="60"/>
        <w:ind w:firstLine="709"/>
        <w:jc w:val="both"/>
        <w:rPr>
          <w:sz w:val="24"/>
          <w:lang w:val="uk-UA"/>
        </w:rPr>
      </w:pPr>
      <w:r w:rsidRPr="00490277">
        <w:rPr>
          <w:sz w:val="24"/>
          <w:lang w:val="uk-UA"/>
        </w:rPr>
        <w:t xml:space="preserve">Питання щодо одержання компенсації </w:t>
      </w:r>
      <w:r w:rsidR="00EF7C0D">
        <w:rPr>
          <w:sz w:val="24"/>
          <w:lang w:val="uk-UA"/>
        </w:rPr>
        <w:t xml:space="preserve">частини </w:t>
      </w:r>
      <w:r w:rsidRPr="00490277">
        <w:rPr>
          <w:sz w:val="24"/>
          <w:lang w:val="uk-UA"/>
        </w:rPr>
        <w:t xml:space="preserve">відсотків на наступний рік повинно розглядатися після затвердження бюджету міста </w:t>
      </w:r>
      <w:r w:rsidR="0035474B">
        <w:rPr>
          <w:sz w:val="24"/>
          <w:lang w:val="uk-UA"/>
        </w:rPr>
        <w:t>Сєвєродоне</w:t>
      </w:r>
      <w:r w:rsidRPr="00490277">
        <w:rPr>
          <w:sz w:val="24"/>
          <w:lang w:val="uk-UA"/>
        </w:rPr>
        <w:t xml:space="preserve">цька, за умови виділення коштів на визначену Програму на відповідний рік. </w:t>
      </w:r>
    </w:p>
    <w:p w:rsidR="00E667E4" w:rsidRPr="00490277" w:rsidRDefault="00E667E4" w:rsidP="0035474B">
      <w:pPr>
        <w:spacing w:after="60"/>
        <w:ind w:firstLine="709"/>
        <w:jc w:val="both"/>
        <w:rPr>
          <w:sz w:val="24"/>
          <w:lang w:val="uk-UA"/>
        </w:rPr>
      </w:pPr>
      <w:r w:rsidRPr="00490277">
        <w:rPr>
          <w:sz w:val="24"/>
          <w:lang w:val="uk-UA"/>
        </w:rPr>
        <w:t>2.10</w:t>
      </w:r>
      <w:r w:rsidR="007B2320">
        <w:rPr>
          <w:sz w:val="24"/>
          <w:lang w:val="uk-UA"/>
        </w:rPr>
        <w:t>.</w:t>
      </w:r>
      <w:r w:rsidRPr="00490277">
        <w:rPr>
          <w:sz w:val="24"/>
          <w:lang w:val="uk-UA"/>
        </w:rPr>
        <w:t xml:space="preserve"> Компенсація не виплачується позичальникам, яких визнано банкрутами або щодо яких порушено провадження у справі про банкрутство, перебувають у стадії ліквідації, подали недостовірну інформацію.</w:t>
      </w:r>
    </w:p>
    <w:p w:rsidR="00E667E4" w:rsidRPr="00490277" w:rsidRDefault="00E667E4" w:rsidP="0035474B">
      <w:pPr>
        <w:spacing w:after="60"/>
        <w:ind w:firstLine="709"/>
        <w:jc w:val="both"/>
        <w:rPr>
          <w:sz w:val="24"/>
          <w:lang w:val="uk-UA"/>
        </w:rPr>
      </w:pPr>
      <w:r w:rsidRPr="00490277">
        <w:rPr>
          <w:sz w:val="24"/>
          <w:lang w:val="uk-UA"/>
        </w:rPr>
        <w:t>2.11</w:t>
      </w:r>
      <w:r w:rsidR="007B2320">
        <w:rPr>
          <w:sz w:val="24"/>
          <w:lang w:val="uk-UA"/>
        </w:rPr>
        <w:t>.</w:t>
      </w:r>
      <w:r w:rsidRPr="00490277">
        <w:rPr>
          <w:sz w:val="24"/>
          <w:lang w:val="uk-UA"/>
        </w:rPr>
        <w:t xml:space="preserve"> У разі прийняття рішення про відмову в наданні компенсації, Комісія, протягом трьох робочих днів після його прийняття, надсилає Позичальнику письмову відповідь з обґрунтуванням причини відмови.</w:t>
      </w:r>
    </w:p>
    <w:p w:rsidR="00E667E4" w:rsidRPr="00490277" w:rsidRDefault="00E667E4" w:rsidP="0035474B">
      <w:pPr>
        <w:tabs>
          <w:tab w:val="left" w:pos="0"/>
        </w:tabs>
        <w:spacing w:after="60"/>
        <w:ind w:firstLine="709"/>
        <w:jc w:val="both"/>
        <w:rPr>
          <w:sz w:val="24"/>
          <w:lang w:val="uk-UA"/>
        </w:rPr>
      </w:pPr>
      <w:r w:rsidRPr="00490277">
        <w:rPr>
          <w:sz w:val="24"/>
          <w:lang w:val="uk-UA"/>
        </w:rPr>
        <w:t>2.12</w:t>
      </w:r>
      <w:r w:rsidR="007B2320">
        <w:rPr>
          <w:sz w:val="24"/>
          <w:lang w:val="uk-UA"/>
        </w:rPr>
        <w:t>.</w:t>
      </w:r>
      <w:r w:rsidRPr="00490277">
        <w:rPr>
          <w:sz w:val="24"/>
          <w:lang w:val="uk-UA"/>
        </w:rPr>
        <w:t xml:space="preserve"> Відшкодування </w:t>
      </w:r>
      <w:r w:rsidR="00EF7C0D">
        <w:rPr>
          <w:sz w:val="24"/>
          <w:lang w:val="uk-UA"/>
        </w:rPr>
        <w:t xml:space="preserve">частини </w:t>
      </w:r>
      <w:r w:rsidRPr="00490277">
        <w:rPr>
          <w:sz w:val="24"/>
          <w:lang w:val="uk-UA"/>
        </w:rPr>
        <w:t xml:space="preserve">відсотків здійснюється </w:t>
      </w:r>
      <w:r w:rsidR="0035474B">
        <w:rPr>
          <w:sz w:val="24"/>
          <w:lang w:val="uk-UA"/>
        </w:rPr>
        <w:t>управлінням</w:t>
      </w:r>
      <w:r w:rsidRPr="00490277">
        <w:rPr>
          <w:sz w:val="24"/>
          <w:lang w:val="uk-UA"/>
        </w:rPr>
        <w:t xml:space="preserve"> житлово-комунального господарства щомісячно </w:t>
      </w:r>
      <w:r w:rsidR="000D725E">
        <w:rPr>
          <w:sz w:val="24"/>
          <w:lang w:val="uk-UA"/>
        </w:rPr>
        <w:t>до 03 числа</w:t>
      </w:r>
      <w:r w:rsidR="000D725E" w:rsidRPr="000D725E">
        <w:rPr>
          <w:sz w:val="24"/>
          <w:lang w:val="uk-UA"/>
        </w:rPr>
        <w:t xml:space="preserve"> </w:t>
      </w:r>
      <w:r w:rsidR="000D725E">
        <w:rPr>
          <w:sz w:val="24"/>
          <w:lang w:val="uk-UA"/>
        </w:rPr>
        <w:t>місяця, наступного за звітним</w:t>
      </w:r>
      <w:r w:rsidRPr="00490277">
        <w:rPr>
          <w:sz w:val="24"/>
          <w:lang w:val="uk-UA"/>
        </w:rPr>
        <w:t>.</w:t>
      </w:r>
    </w:p>
    <w:p w:rsidR="00E667E4" w:rsidRPr="00490277" w:rsidRDefault="00E667E4" w:rsidP="0035474B">
      <w:pPr>
        <w:tabs>
          <w:tab w:val="left" w:pos="0"/>
        </w:tabs>
        <w:spacing w:after="60"/>
        <w:ind w:firstLine="709"/>
        <w:jc w:val="both"/>
        <w:rPr>
          <w:sz w:val="24"/>
          <w:lang w:val="uk-UA"/>
        </w:rPr>
      </w:pPr>
      <w:r w:rsidRPr="00490277">
        <w:rPr>
          <w:sz w:val="24"/>
          <w:lang w:val="uk-UA"/>
        </w:rPr>
        <w:t xml:space="preserve">Відшкодування </w:t>
      </w:r>
      <w:r w:rsidR="00EF7C0D">
        <w:rPr>
          <w:sz w:val="24"/>
          <w:lang w:val="uk-UA"/>
        </w:rPr>
        <w:t xml:space="preserve">частини </w:t>
      </w:r>
      <w:r w:rsidRPr="00490277">
        <w:rPr>
          <w:sz w:val="24"/>
          <w:lang w:val="uk-UA"/>
        </w:rPr>
        <w:t>відсотків за грудень місяць здійснюється за умови їх авансової сплати у листопаді місяці.</w:t>
      </w:r>
    </w:p>
    <w:p w:rsidR="00E667E4" w:rsidRDefault="00E667E4" w:rsidP="0035474B">
      <w:pPr>
        <w:spacing w:after="60"/>
        <w:ind w:firstLine="709"/>
        <w:jc w:val="both"/>
        <w:rPr>
          <w:sz w:val="24"/>
          <w:lang w:val="uk-UA"/>
        </w:rPr>
      </w:pPr>
      <w:r w:rsidRPr="00490277">
        <w:rPr>
          <w:sz w:val="24"/>
          <w:lang w:val="uk-UA"/>
        </w:rPr>
        <w:t xml:space="preserve">2.13 Для укладення договору на одержання відшкодування </w:t>
      </w:r>
      <w:r w:rsidR="00EF7C0D">
        <w:rPr>
          <w:sz w:val="24"/>
          <w:lang w:val="uk-UA"/>
        </w:rPr>
        <w:t xml:space="preserve">частини </w:t>
      </w:r>
      <w:r w:rsidRPr="00490277">
        <w:rPr>
          <w:sz w:val="24"/>
          <w:lang w:val="uk-UA"/>
        </w:rPr>
        <w:t xml:space="preserve">відсотків по кредиту Позичальник подає в </w:t>
      </w:r>
      <w:r w:rsidR="0035474B">
        <w:rPr>
          <w:sz w:val="24"/>
          <w:lang w:val="uk-UA"/>
        </w:rPr>
        <w:t>управління</w:t>
      </w:r>
      <w:r w:rsidRPr="00490277">
        <w:rPr>
          <w:sz w:val="24"/>
          <w:lang w:val="uk-UA"/>
        </w:rPr>
        <w:t xml:space="preserve"> житлово-комунального господарства </w:t>
      </w:r>
      <w:r w:rsidR="0035474B">
        <w:rPr>
          <w:sz w:val="24"/>
          <w:lang w:val="uk-UA"/>
        </w:rPr>
        <w:t>Сєвєродоне</w:t>
      </w:r>
      <w:r w:rsidRPr="00490277">
        <w:rPr>
          <w:sz w:val="24"/>
          <w:lang w:val="uk-UA"/>
        </w:rPr>
        <w:t>цької міської ради наступні документи:</w:t>
      </w:r>
    </w:p>
    <w:p w:rsidR="004233E2" w:rsidRPr="00490277" w:rsidRDefault="004233E2" w:rsidP="0035474B">
      <w:pPr>
        <w:spacing w:after="60"/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для юридичних осіб:</w:t>
      </w:r>
    </w:p>
    <w:p w:rsidR="00E667E4" w:rsidRPr="00490277" w:rsidRDefault="00E667E4" w:rsidP="0035474B">
      <w:pPr>
        <w:spacing w:after="60"/>
        <w:ind w:firstLine="709"/>
        <w:jc w:val="both"/>
        <w:rPr>
          <w:sz w:val="24"/>
          <w:lang w:val="uk-UA"/>
        </w:rPr>
      </w:pPr>
      <w:r w:rsidRPr="00490277">
        <w:rPr>
          <w:sz w:val="24"/>
          <w:lang w:val="uk-UA"/>
        </w:rPr>
        <w:t>- довідка про реєстрацію ЄДРПОУ;</w:t>
      </w:r>
    </w:p>
    <w:p w:rsidR="004233E2" w:rsidRDefault="00E667E4" w:rsidP="0035474B">
      <w:pPr>
        <w:spacing w:after="60"/>
        <w:ind w:firstLine="709"/>
        <w:jc w:val="both"/>
        <w:rPr>
          <w:sz w:val="24"/>
          <w:lang w:val="uk-UA"/>
        </w:rPr>
      </w:pPr>
      <w:r w:rsidRPr="00490277">
        <w:rPr>
          <w:sz w:val="24"/>
          <w:lang w:val="uk-UA"/>
        </w:rPr>
        <w:t>- копію кредитного договору, графік погашення кредиту та сплати відсотків за ним, засвідчені кредитно-фінансовою установою</w:t>
      </w:r>
      <w:r w:rsidR="004233E2">
        <w:rPr>
          <w:sz w:val="24"/>
          <w:lang w:val="uk-UA"/>
        </w:rPr>
        <w:t>;</w:t>
      </w:r>
    </w:p>
    <w:p w:rsidR="004233E2" w:rsidRDefault="004233E2" w:rsidP="0035474B">
      <w:pPr>
        <w:spacing w:after="60"/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для фізичних осіб:</w:t>
      </w:r>
    </w:p>
    <w:p w:rsidR="00E667E4" w:rsidRPr="00490277" w:rsidRDefault="004233E2" w:rsidP="0035474B">
      <w:pPr>
        <w:spacing w:after="60"/>
        <w:ind w:firstLine="709"/>
        <w:jc w:val="both"/>
        <w:rPr>
          <w:sz w:val="24"/>
          <w:lang w:val="uk-UA"/>
        </w:rPr>
      </w:pPr>
      <w:r w:rsidRPr="00490277">
        <w:rPr>
          <w:sz w:val="24"/>
          <w:lang w:val="uk-UA"/>
        </w:rPr>
        <w:lastRenderedPageBreak/>
        <w:t>- копію кредитного договору, графік погашення кредиту та сплати відсотків за ним, засвідчені кредитно-фінансовою установою</w:t>
      </w:r>
      <w:r w:rsidR="00E667E4" w:rsidRPr="00490277">
        <w:rPr>
          <w:sz w:val="24"/>
          <w:lang w:val="uk-UA"/>
        </w:rPr>
        <w:t>.</w:t>
      </w:r>
    </w:p>
    <w:p w:rsidR="00E667E4" w:rsidRPr="00490277" w:rsidRDefault="00E667E4" w:rsidP="0035474B">
      <w:pPr>
        <w:shd w:val="clear" w:color="auto" w:fill="FFFFFF"/>
        <w:spacing w:after="60"/>
        <w:ind w:firstLine="709"/>
        <w:jc w:val="both"/>
        <w:rPr>
          <w:sz w:val="24"/>
          <w:lang w:val="uk-UA"/>
        </w:rPr>
      </w:pPr>
      <w:r w:rsidRPr="00490277">
        <w:rPr>
          <w:sz w:val="24"/>
          <w:lang w:val="uk-UA"/>
        </w:rPr>
        <w:t xml:space="preserve">2.14 </w:t>
      </w:r>
      <w:r w:rsidR="0035474B">
        <w:rPr>
          <w:sz w:val="24"/>
          <w:lang w:val="uk-UA"/>
        </w:rPr>
        <w:t>Управління</w:t>
      </w:r>
      <w:r w:rsidRPr="00490277">
        <w:rPr>
          <w:sz w:val="24"/>
          <w:lang w:val="uk-UA"/>
        </w:rPr>
        <w:t xml:space="preserve"> житлово-комунального господарства відповідно до укладеного договору реєструє юридичні та фінансові зобов’язання в управлінні Державної казначейської служби України у місті </w:t>
      </w:r>
      <w:r w:rsidR="0035474B">
        <w:rPr>
          <w:sz w:val="24"/>
          <w:lang w:val="uk-UA"/>
        </w:rPr>
        <w:t>Сєвєродоне</w:t>
      </w:r>
      <w:r w:rsidRPr="00490277">
        <w:rPr>
          <w:sz w:val="24"/>
          <w:lang w:val="uk-UA"/>
        </w:rPr>
        <w:t xml:space="preserve">цьку </w:t>
      </w:r>
      <w:r w:rsidR="0035474B">
        <w:rPr>
          <w:sz w:val="24"/>
          <w:lang w:val="uk-UA"/>
        </w:rPr>
        <w:t>Луган</w:t>
      </w:r>
      <w:r w:rsidRPr="00490277">
        <w:rPr>
          <w:sz w:val="24"/>
          <w:lang w:val="uk-UA"/>
        </w:rPr>
        <w:t>ської області.</w:t>
      </w:r>
    </w:p>
    <w:p w:rsidR="00E667E4" w:rsidRPr="00490277" w:rsidRDefault="00E667E4" w:rsidP="0035474B">
      <w:pPr>
        <w:shd w:val="clear" w:color="auto" w:fill="FFFFFF"/>
        <w:spacing w:after="60"/>
        <w:ind w:firstLine="709"/>
        <w:jc w:val="both"/>
        <w:rPr>
          <w:sz w:val="24"/>
          <w:lang w:val="uk-UA"/>
        </w:rPr>
      </w:pPr>
      <w:r w:rsidRPr="00490277">
        <w:rPr>
          <w:sz w:val="24"/>
          <w:lang w:val="uk-UA"/>
        </w:rPr>
        <w:t xml:space="preserve">2.15 Управління фінансів </w:t>
      </w:r>
      <w:r w:rsidR="0035474B">
        <w:rPr>
          <w:sz w:val="24"/>
          <w:lang w:val="uk-UA"/>
        </w:rPr>
        <w:t>Сєвєродоне</w:t>
      </w:r>
      <w:r w:rsidRPr="00490277">
        <w:rPr>
          <w:sz w:val="24"/>
          <w:lang w:val="uk-UA"/>
        </w:rPr>
        <w:t xml:space="preserve">цької міської ради відповідно до зареєстрованих зобов’язань здійснює фінансування </w:t>
      </w:r>
      <w:r w:rsidR="0035474B">
        <w:rPr>
          <w:sz w:val="24"/>
          <w:lang w:val="uk-UA"/>
        </w:rPr>
        <w:t>управління</w:t>
      </w:r>
      <w:r w:rsidRPr="00490277">
        <w:rPr>
          <w:sz w:val="24"/>
          <w:lang w:val="uk-UA"/>
        </w:rPr>
        <w:t xml:space="preserve"> житлово-комунального господарства на рахунок, відкритий в управлінні Державної казначейської служби України у місті </w:t>
      </w:r>
      <w:r w:rsidR="0035474B">
        <w:rPr>
          <w:sz w:val="24"/>
          <w:lang w:val="uk-UA"/>
        </w:rPr>
        <w:t>Сєвєродонець</w:t>
      </w:r>
      <w:r w:rsidRPr="00490277">
        <w:rPr>
          <w:sz w:val="24"/>
          <w:lang w:val="uk-UA"/>
        </w:rPr>
        <w:t xml:space="preserve">ку </w:t>
      </w:r>
      <w:r w:rsidR="0035474B">
        <w:rPr>
          <w:sz w:val="24"/>
          <w:lang w:val="uk-UA"/>
        </w:rPr>
        <w:t>Луга</w:t>
      </w:r>
      <w:r w:rsidRPr="00490277">
        <w:rPr>
          <w:sz w:val="24"/>
          <w:lang w:val="uk-UA"/>
        </w:rPr>
        <w:t>нської області.</w:t>
      </w:r>
    </w:p>
    <w:p w:rsidR="00E667E4" w:rsidRPr="00490277" w:rsidRDefault="00E667E4" w:rsidP="00E667E4">
      <w:pPr>
        <w:shd w:val="clear" w:color="auto" w:fill="FFFFFF"/>
        <w:ind w:firstLine="709"/>
        <w:jc w:val="both"/>
        <w:rPr>
          <w:sz w:val="24"/>
          <w:lang w:val="uk-UA"/>
        </w:rPr>
      </w:pPr>
      <w:r w:rsidRPr="00490277">
        <w:rPr>
          <w:sz w:val="24"/>
          <w:lang w:val="uk-UA"/>
        </w:rPr>
        <w:t xml:space="preserve">2.16 Управління Державної казначейської служби України у місті </w:t>
      </w:r>
      <w:r w:rsidR="0035474B">
        <w:rPr>
          <w:sz w:val="24"/>
          <w:lang w:val="uk-UA"/>
        </w:rPr>
        <w:t>Сєвєродоне</w:t>
      </w:r>
      <w:r w:rsidRPr="00490277">
        <w:rPr>
          <w:sz w:val="24"/>
          <w:lang w:val="uk-UA"/>
        </w:rPr>
        <w:t xml:space="preserve">цьку </w:t>
      </w:r>
      <w:r w:rsidR="0035474B">
        <w:rPr>
          <w:sz w:val="24"/>
          <w:lang w:val="uk-UA"/>
        </w:rPr>
        <w:t>Луган</w:t>
      </w:r>
      <w:r w:rsidRPr="00490277">
        <w:rPr>
          <w:sz w:val="24"/>
          <w:lang w:val="uk-UA"/>
        </w:rPr>
        <w:t xml:space="preserve">ської області перераховує кошти на поточний банківський рахунок об’єднань співвласників багатоквартирних будинків, </w:t>
      </w:r>
      <w:r w:rsidRPr="00490277">
        <w:rPr>
          <w:sz w:val="24"/>
          <w:bdr w:val="none" w:sz="0" w:space="0" w:color="auto" w:frame="1"/>
          <w:lang w:val="uk-UA" w:eastAsia="uk-UA"/>
        </w:rPr>
        <w:t>органів самоорганізації населення – будинкових комітетів</w:t>
      </w:r>
      <w:r w:rsidRPr="00490277">
        <w:rPr>
          <w:sz w:val="24"/>
          <w:lang w:val="uk-UA"/>
        </w:rPr>
        <w:t xml:space="preserve"> та </w:t>
      </w:r>
      <w:r w:rsidR="00EF7C0D">
        <w:rPr>
          <w:sz w:val="24"/>
          <w:lang w:val="uk-UA"/>
        </w:rPr>
        <w:t>фізичних осіб</w:t>
      </w:r>
      <w:r w:rsidR="002D4FDF">
        <w:rPr>
          <w:sz w:val="24"/>
          <w:lang w:val="uk-UA"/>
        </w:rPr>
        <w:t xml:space="preserve">, відкритий </w:t>
      </w:r>
      <w:r w:rsidR="00D800B8">
        <w:rPr>
          <w:sz w:val="24"/>
          <w:lang w:val="uk-UA"/>
        </w:rPr>
        <w:t>в кредитно-фінансових установах</w:t>
      </w:r>
      <w:r w:rsidR="00E922A7">
        <w:rPr>
          <w:sz w:val="24"/>
          <w:lang w:val="uk-UA"/>
        </w:rPr>
        <w:t>,</w:t>
      </w:r>
      <w:r w:rsidR="002D4FDF">
        <w:rPr>
          <w:sz w:val="24"/>
          <w:lang w:val="uk-UA"/>
        </w:rPr>
        <w:t xml:space="preserve"> </w:t>
      </w:r>
      <w:r w:rsidR="00E922A7">
        <w:rPr>
          <w:sz w:val="24"/>
          <w:lang w:val="uk-UA"/>
        </w:rPr>
        <w:t>на підставі</w:t>
      </w:r>
      <w:r w:rsidR="002D4FDF">
        <w:rPr>
          <w:sz w:val="24"/>
          <w:lang w:val="uk-UA"/>
        </w:rPr>
        <w:t xml:space="preserve"> реєстру Позичальників, що отримали кредити в </w:t>
      </w:r>
      <w:r w:rsidR="004165B1">
        <w:rPr>
          <w:sz w:val="24"/>
          <w:lang w:val="uk-UA"/>
        </w:rPr>
        <w:t xml:space="preserve">цих </w:t>
      </w:r>
      <w:r w:rsidR="002D4FDF">
        <w:rPr>
          <w:sz w:val="24"/>
          <w:lang w:val="uk-UA"/>
        </w:rPr>
        <w:t xml:space="preserve">кредитно-фінансових установах. </w:t>
      </w:r>
    </w:p>
    <w:p w:rsidR="004233E2" w:rsidRDefault="004233E2">
      <w:pPr>
        <w:suppressAutoHyphens w:val="0"/>
        <w:spacing w:after="200" w:line="276" w:lineRule="auto"/>
        <w:rPr>
          <w:b/>
          <w:bCs/>
          <w:szCs w:val="28"/>
          <w:lang w:val="uk-UA"/>
        </w:rPr>
      </w:pPr>
    </w:p>
    <w:p w:rsidR="004233E2" w:rsidRDefault="004233E2">
      <w:pPr>
        <w:suppressAutoHyphens w:val="0"/>
        <w:spacing w:after="200" w:line="276" w:lineRule="auto"/>
        <w:rPr>
          <w:b/>
          <w:bCs/>
          <w:szCs w:val="28"/>
          <w:lang w:val="uk-UA"/>
        </w:rPr>
      </w:pPr>
    </w:p>
    <w:p w:rsidR="00C72642" w:rsidRPr="00C72642" w:rsidRDefault="00C72642" w:rsidP="00C72642">
      <w:pPr>
        <w:spacing w:line="360" w:lineRule="auto"/>
        <w:jc w:val="center"/>
        <w:rPr>
          <w:sz w:val="24"/>
        </w:rPr>
      </w:pPr>
      <w:r w:rsidRPr="00C72642">
        <w:rPr>
          <w:b/>
          <w:sz w:val="24"/>
          <w:lang w:val="uk-UA"/>
        </w:rPr>
        <w:t>Керуючий справами виконкому</w:t>
      </w:r>
      <w:r w:rsidRPr="00C72642">
        <w:rPr>
          <w:b/>
          <w:bCs/>
          <w:sz w:val="24"/>
          <w:lang w:val="uk-UA"/>
        </w:rPr>
        <w:tab/>
      </w:r>
      <w:r w:rsidRPr="00C72642">
        <w:rPr>
          <w:b/>
          <w:bCs/>
          <w:sz w:val="24"/>
          <w:lang w:val="uk-UA"/>
        </w:rPr>
        <w:tab/>
      </w:r>
      <w:r w:rsidRPr="00C72642">
        <w:rPr>
          <w:b/>
          <w:bCs/>
          <w:sz w:val="24"/>
          <w:lang w:val="uk-UA"/>
        </w:rPr>
        <w:tab/>
      </w:r>
      <w:r w:rsidRPr="00C72642">
        <w:rPr>
          <w:b/>
          <w:bCs/>
          <w:sz w:val="24"/>
          <w:lang w:val="uk-UA"/>
        </w:rPr>
        <w:tab/>
      </w:r>
      <w:r w:rsidRPr="00C72642">
        <w:rPr>
          <w:b/>
          <w:bCs/>
          <w:sz w:val="24"/>
          <w:lang w:val="uk-UA"/>
        </w:rPr>
        <w:tab/>
        <w:t>Л.Ф.Єфименко</w:t>
      </w:r>
    </w:p>
    <w:p w:rsidR="00160804" w:rsidRPr="00C72642" w:rsidRDefault="00160804" w:rsidP="00202157">
      <w:pPr>
        <w:tabs>
          <w:tab w:val="left" w:pos="7020"/>
        </w:tabs>
        <w:jc w:val="center"/>
        <w:rPr>
          <w:sz w:val="24"/>
        </w:rPr>
      </w:pPr>
    </w:p>
    <w:sectPr w:rsidR="00160804" w:rsidRPr="00C72642" w:rsidSect="00490277">
      <w:headerReference w:type="default" r:id="rId7"/>
      <w:pgSz w:w="11906" w:h="16838"/>
      <w:pgMar w:top="1134" w:right="851" w:bottom="851" w:left="1985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2A9" w:rsidRDefault="008862A9" w:rsidP="00BE7627">
      <w:r>
        <w:separator/>
      </w:r>
    </w:p>
  </w:endnote>
  <w:endnote w:type="continuationSeparator" w:id="1">
    <w:p w:rsidR="008862A9" w:rsidRDefault="008862A9" w:rsidP="00BE7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2A9" w:rsidRDefault="008862A9" w:rsidP="00BE7627">
      <w:r>
        <w:separator/>
      </w:r>
    </w:p>
  </w:footnote>
  <w:footnote w:type="continuationSeparator" w:id="1">
    <w:p w:rsidR="008862A9" w:rsidRDefault="008862A9" w:rsidP="00BE7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A7B" w:rsidRDefault="00583157">
    <w:pPr>
      <w:pStyle w:val="a5"/>
      <w:jc w:val="center"/>
    </w:pPr>
    <w:r>
      <w:fldChar w:fldCharType="begin"/>
    </w:r>
    <w:r w:rsidR="00E43529">
      <w:instrText xml:space="preserve"> PAGE   \* MERGEFORMAT </w:instrText>
    </w:r>
    <w:r>
      <w:fldChar w:fldCharType="separate"/>
    </w:r>
    <w:r w:rsidR="004C5675">
      <w:rPr>
        <w:noProof/>
      </w:rPr>
      <w:t>2</w:t>
    </w:r>
    <w:r>
      <w:fldChar w:fldCharType="end"/>
    </w:r>
  </w:p>
  <w:p w:rsidR="00622A7B" w:rsidRDefault="008862A9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D074C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."/>
      <w:lvlJc w:val="left"/>
      <w:pPr>
        <w:tabs>
          <w:tab w:val="num" w:pos="1444"/>
        </w:tabs>
        <w:ind w:left="1444" w:hanging="735"/>
      </w:pPr>
    </w:lvl>
    <w:lvl w:ilvl="2">
      <w:start w:val="1"/>
      <w:numFmt w:val="decimal"/>
      <w:lvlText w:val="%1.%2.%3."/>
      <w:lvlJc w:val="left"/>
      <w:pPr>
        <w:tabs>
          <w:tab w:val="num" w:pos="2153"/>
        </w:tabs>
        <w:ind w:left="2153" w:hanging="735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">
    <w:nsid w:val="00000003"/>
    <w:multiLevelType w:val="multilevel"/>
    <w:tmpl w:val="C25267A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B"/>
    <w:multiLevelType w:val="multilevel"/>
    <w:tmpl w:val="8E002B28"/>
    <w:lvl w:ilvl="0">
      <w:start w:val="1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D"/>
    <w:multiLevelType w:val="multilevel"/>
    <w:tmpl w:val="8EE2F6A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11"/>
    <w:multiLevelType w:val="multilevel"/>
    <w:tmpl w:val="3D068EA6"/>
    <w:lvl w:ilvl="0">
      <w:start w:val="4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25AD0B52"/>
    <w:multiLevelType w:val="singleLevel"/>
    <w:tmpl w:val="10DAC824"/>
    <w:lvl w:ilvl="0">
      <w:start w:val="2"/>
      <w:numFmt w:val="decimal"/>
      <w:lvlText w:val="%1)"/>
      <w:legacy w:legacy="1" w:legacySpace="0" w:legacyIndent="266"/>
      <w:lvlJc w:val="left"/>
      <w:rPr>
        <w:rFonts w:ascii="Arial" w:hAnsi="Arial" w:cs="Arial" w:hint="default"/>
      </w:rPr>
    </w:lvl>
  </w:abstractNum>
  <w:abstractNum w:abstractNumId="8">
    <w:nsid w:val="2B146124"/>
    <w:multiLevelType w:val="hybridMultilevel"/>
    <w:tmpl w:val="3398B31A"/>
    <w:lvl w:ilvl="0" w:tplc="84EAAF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13A44A0"/>
    <w:multiLevelType w:val="multilevel"/>
    <w:tmpl w:val="C9BCC4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17D414B"/>
    <w:multiLevelType w:val="hybridMultilevel"/>
    <w:tmpl w:val="E12AAC60"/>
    <w:lvl w:ilvl="0" w:tplc="F058F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A9543C"/>
    <w:multiLevelType w:val="hybridMultilevel"/>
    <w:tmpl w:val="760626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52EB6"/>
    <w:multiLevelType w:val="hybridMultilevel"/>
    <w:tmpl w:val="5C6E7E6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69F7CB0"/>
    <w:multiLevelType w:val="multilevel"/>
    <w:tmpl w:val="7E564F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AEA475D"/>
    <w:multiLevelType w:val="hybridMultilevel"/>
    <w:tmpl w:val="D9D8E424"/>
    <w:lvl w:ilvl="0" w:tplc="C3D074C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1801AC"/>
    <w:multiLevelType w:val="singleLevel"/>
    <w:tmpl w:val="A9E8BFC4"/>
    <w:lvl w:ilvl="0">
      <w:start w:val="1"/>
      <w:numFmt w:val="decimal"/>
      <w:lvlText w:val="%1)"/>
      <w:legacy w:legacy="1" w:legacySpace="0" w:legacyIndent="266"/>
      <w:lvlJc w:val="left"/>
      <w:rPr>
        <w:rFonts w:ascii="Arial" w:hAnsi="Arial" w:cs="Arial" w:hint="default"/>
      </w:rPr>
    </w:lvl>
  </w:abstractNum>
  <w:abstractNum w:abstractNumId="17">
    <w:nsid w:val="57B75C04"/>
    <w:multiLevelType w:val="hybridMultilevel"/>
    <w:tmpl w:val="8D7692A4"/>
    <w:lvl w:ilvl="0" w:tplc="C3D074C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CA7135"/>
    <w:multiLevelType w:val="hybridMultilevel"/>
    <w:tmpl w:val="C124F978"/>
    <w:lvl w:ilvl="0" w:tplc="941A516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036363"/>
    <w:multiLevelType w:val="hybridMultilevel"/>
    <w:tmpl w:val="2D6021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F702D7"/>
    <w:multiLevelType w:val="hybridMultilevel"/>
    <w:tmpl w:val="40402D4A"/>
    <w:lvl w:ilvl="0" w:tplc="941A516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FE314B1"/>
    <w:multiLevelType w:val="hybridMultilevel"/>
    <w:tmpl w:val="38DCB66E"/>
    <w:lvl w:ilvl="0" w:tplc="BDE0BE46">
      <w:start w:val="2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A4808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B33849"/>
    <w:multiLevelType w:val="multilevel"/>
    <w:tmpl w:val="3320AD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9AF07ED"/>
    <w:multiLevelType w:val="hybridMultilevel"/>
    <w:tmpl w:val="9EA83F5A"/>
    <w:lvl w:ilvl="0" w:tplc="C3D074C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1"/>
  </w:num>
  <w:num w:numId="8">
    <w:abstractNumId w:val="11"/>
  </w:num>
  <w:num w:numId="9">
    <w:abstractNumId w:val="10"/>
  </w:num>
  <w:num w:numId="10">
    <w:abstractNumId w:val="9"/>
  </w:num>
  <w:num w:numId="11">
    <w:abstractNumId w:val="13"/>
  </w:num>
  <w:num w:numId="12">
    <w:abstractNumId w:val="20"/>
  </w:num>
  <w:num w:numId="13">
    <w:abstractNumId w:val="18"/>
  </w:num>
  <w:num w:numId="14">
    <w:abstractNumId w:val="22"/>
  </w:num>
  <w:num w:numId="15">
    <w:abstractNumId w:val="14"/>
  </w:num>
  <w:num w:numId="16">
    <w:abstractNumId w:val="16"/>
  </w:num>
  <w:num w:numId="17">
    <w:abstractNumId w:val="7"/>
  </w:num>
  <w:num w:numId="18">
    <w:abstractNumId w:val="12"/>
  </w:num>
  <w:num w:numId="19">
    <w:abstractNumId w:val="8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3">
    <w:abstractNumId w:val="19"/>
  </w:num>
  <w:num w:numId="24">
    <w:abstractNumId w:val="17"/>
  </w:num>
  <w:num w:numId="25">
    <w:abstractNumId w:val="15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E667E4"/>
    <w:rsid w:val="000422E8"/>
    <w:rsid w:val="00043C85"/>
    <w:rsid w:val="000457B1"/>
    <w:rsid w:val="00082012"/>
    <w:rsid w:val="000A55F3"/>
    <w:rsid w:val="000B5877"/>
    <w:rsid w:val="000B5F64"/>
    <w:rsid w:val="000C7EBB"/>
    <w:rsid w:val="000D725E"/>
    <w:rsid w:val="000F0903"/>
    <w:rsid w:val="000F67FA"/>
    <w:rsid w:val="00135623"/>
    <w:rsid w:val="00142E41"/>
    <w:rsid w:val="00160804"/>
    <w:rsid w:val="001845AE"/>
    <w:rsid w:val="001A248E"/>
    <w:rsid w:val="001A4CBF"/>
    <w:rsid w:val="001A6AD7"/>
    <w:rsid w:val="001C0AF3"/>
    <w:rsid w:val="00202157"/>
    <w:rsid w:val="00205812"/>
    <w:rsid w:val="00243E4A"/>
    <w:rsid w:val="002824C2"/>
    <w:rsid w:val="002A609B"/>
    <w:rsid w:val="002D4FDF"/>
    <w:rsid w:val="0030367C"/>
    <w:rsid w:val="003134BD"/>
    <w:rsid w:val="003154A8"/>
    <w:rsid w:val="00323488"/>
    <w:rsid w:val="0035474B"/>
    <w:rsid w:val="00360D27"/>
    <w:rsid w:val="00365C87"/>
    <w:rsid w:val="003D4202"/>
    <w:rsid w:val="003E0923"/>
    <w:rsid w:val="003E0CED"/>
    <w:rsid w:val="003F5936"/>
    <w:rsid w:val="004165B1"/>
    <w:rsid w:val="004233E2"/>
    <w:rsid w:val="0044481C"/>
    <w:rsid w:val="00460905"/>
    <w:rsid w:val="00490277"/>
    <w:rsid w:val="00495AAE"/>
    <w:rsid w:val="004C5675"/>
    <w:rsid w:val="004D4EED"/>
    <w:rsid w:val="004E30D0"/>
    <w:rsid w:val="005035CA"/>
    <w:rsid w:val="00524766"/>
    <w:rsid w:val="00541F16"/>
    <w:rsid w:val="00556113"/>
    <w:rsid w:val="005765BA"/>
    <w:rsid w:val="00583157"/>
    <w:rsid w:val="005B12EB"/>
    <w:rsid w:val="005C0D43"/>
    <w:rsid w:val="0063785A"/>
    <w:rsid w:val="006428A1"/>
    <w:rsid w:val="00644CFC"/>
    <w:rsid w:val="00646199"/>
    <w:rsid w:val="00683473"/>
    <w:rsid w:val="006D072D"/>
    <w:rsid w:val="007250E1"/>
    <w:rsid w:val="00726417"/>
    <w:rsid w:val="007327DA"/>
    <w:rsid w:val="00762059"/>
    <w:rsid w:val="00767779"/>
    <w:rsid w:val="007731E4"/>
    <w:rsid w:val="00795597"/>
    <w:rsid w:val="007A3649"/>
    <w:rsid w:val="007B2320"/>
    <w:rsid w:val="007C3FAD"/>
    <w:rsid w:val="007D2BE3"/>
    <w:rsid w:val="00844BBD"/>
    <w:rsid w:val="00846C95"/>
    <w:rsid w:val="008526FE"/>
    <w:rsid w:val="0086280D"/>
    <w:rsid w:val="008828A5"/>
    <w:rsid w:val="008862A9"/>
    <w:rsid w:val="008A4EC8"/>
    <w:rsid w:val="008D7B93"/>
    <w:rsid w:val="008F293E"/>
    <w:rsid w:val="00905D03"/>
    <w:rsid w:val="0091791A"/>
    <w:rsid w:val="00985766"/>
    <w:rsid w:val="009F3BDB"/>
    <w:rsid w:val="00A0359D"/>
    <w:rsid w:val="00A136A4"/>
    <w:rsid w:val="00A175A2"/>
    <w:rsid w:val="00A53ECB"/>
    <w:rsid w:val="00A66C59"/>
    <w:rsid w:val="00A77916"/>
    <w:rsid w:val="00AC1610"/>
    <w:rsid w:val="00B67F82"/>
    <w:rsid w:val="00B84E0A"/>
    <w:rsid w:val="00B96FB0"/>
    <w:rsid w:val="00BA23E4"/>
    <w:rsid w:val="00BB0608"/>
    <w:rsid w:val="00BB4A54"/>
    <w:rsid w:val="00BD7F26"/>
    <w:rsid w:val="00BE3B20"/>
    <w:rsid w:val="00BE7627"/>
    <w:rsid w:val="00BF3EDE"/>
    <w:rsid w:val="00BF4439"/>
    <w:rsid w:val="00C01440"/>
    <w:rsid w:val="00C47903"/>
    <w:rsid w:val="00C640A8"/>
    <w:rsid w:val="00C72642"/>
    <w:rsid w:val="00C73F85"/>
    <w:rsid w:val="00C84715"/>
    <w:rsid w:val="00C97355"/>
    <w:rsid w:val="00CB0650"/>
    <w:rsid w:val="00CC048A"/>
    <w:rsid w:val="00CD17EE"/>
    <w:rsid w:val="00CE0175"/>
    <w:rsid w:val="00D0315F"/>
    <w:rsid w:val="00D070ED"/>
    <w:rsid w:val="00D313C2"/>
    <w:rsid w:val="00D62EEC"/>
    <w:rsid w:val="00D800B8"/>
    <w:rsid w:val="00D91E29"/>
    <w:rsid w:val="00DA297A"/>
    <w:rsid w:val="00DC56E6"/>
    <w:rsid w:val="00DF6D57"/>
    <w:rsid w:val="00E224C9"/>
    <w:rsid w:val="00E37006"/>
    <w:rsid w:val="00E43529"/>
    <w:rsid w:val="00E52FE9"/>
    <w:rsid w:val="00E667E4"/>
    <w:rsid w:val="00E706D7"/>
    <w:rsid w:val="00E81E02"/>
    <w:rsid w:val="00E91E10"/>
    <w:rsid w:val="00E91FF8"/>
    <w:rsid w:val="00E922A7"/>
    <w:rsid w:val="00E9776A"/>
    <w:rsid w:val="00EB0FDE"/>
    <w:rsid w:val="00EB642A"/>
    <w:rsid w:val="00EC5ED8"/>
    <w:rsid w:val="00EE4094"/>
    <w:rsid w:val="00EF7C0D"/>
    <w:rsid w:val="00F03B06"/>
    <w:rsid w:val="00F06622"/>
    <w:rsid w:val="00F46289"/>
    <w:rsid w:val="00F539BE"/>
    <w:rsid w:val="00F76809"/>
    <w:rsid w:val="00F76D6E"/>
    <w:rsid w:val="00F8745A"/>
    <w:rsid w:val="00FA23D5"/>
    <w:rsid w:val="00FA31A3"/>
    <w:rsid w:val="00FB7E97"/>
    <w:rsid w:val="00FC642F"/>
    <w:rsid w:val="00FF2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E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2">
    <w:name w:val="heading 2"/>
    <w:basedOn w:val="a"/>
    <w:next w:val="a"/>
    <w:link w:val="20"/>
    <w:qFormat/>
    <w:rsid w:val="00DA297A"/>
    <w:pPr>
      <w:keepNext/>
      <w:suppressAutoHyphens w:val="0"/>
      <w:spacing w:line="480" w:lineRule="auto"/>
      <w:jc w:val="center"/>
      <w:outlineLvl w:val="1"/>
    </w:pPr>
    <w:rPr>
      <w:b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67E4"/>
    <w:pPr>
      <w:spacing w:after="120"/>
    </w:pPr>
  </w:style>
  <w:style w:type="character" w:customStyle="1" w:styleId="a4">
    <w:name w:val="Основной текст Знак"/>
    <w:basedOn w:val="a0"/>
    <w:link w:val="a3"/>
    <w:rsid w:val="00E667E4"/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a5">
    <w:name w:val="header"/>
    <w:basedOn w:val="a"/>
    <w:link w:val="a6"/>
    <w:uiPriority w:val="99"/>
    <w:rsid w:val="00E667E4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E667E4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40">
    <w:name w:val="a4"/>
    <w:basedOn w:val="a"/>
    <w:rsid w:val="00E667E4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a7">
    <w:name w:val="a"/>
    <w:basedOn w:val="a"/>
    <w:rsid w:val="00E667E4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21">
    <w:name w:val="Заголовок №2_"/>
    <w:basedOn w:val="a0"/>
    <w:link w:val="22"/>
    <w:rsid w:val="00E667E4"/>
    <w:rPr>
      <w:b/>
      <w:bCs/>
      <w:sz w:val="23"/>
      <w:szCs w:val="23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E667E4"/>
    <w:rPr>
      <w:b/>
      <w:bCs/>
      <w:shd w:val="clear" w:color="auto" w:fill="FFFFFF"/>
    </w:rPr>
  </w:style>
  <w:style w:type="character" w:customStyle="1" w:styleId="1">
    <w:name w:val="Заголовок №1_"/>
    <w:basedOn w:val="a0"/>
    <w:link w:val="11"/>
    <w:rsid w:val="00E667E4"/>
    <w:rPr>
      <w:b/>
      <w:bCs/>
      <w:sz w:val="23"/>
      <w:szCs w:val="23"/>
      <w:shd w:val="clear" w:color="auto" w:fill="FFFFFF"/>
    </w:rPr>
  </w:style>
  <w:style w:type="character" w:customStyle="1" w:styleId="10">
    <w:name w:val="Заголовок №1"/>
    <w:basedOn w:val="1"/>
    <w:rsid w:val="00E667E4"/>
  </w:style>
  <w:style w:type="paragraph" w:customStyle="1" w:styleId="22">
    <w:name w:val="Заголовок №2"/>
    <w:basedOn w:val="a"/>
    <w:link w:val="21"/>
    <w:rsid w:val="00E667E4"/>
    <w:pPr>
      <w:shd w:val="clear" w:color="auto" w:fill="FFFFFF"/>
      <w:suppressAutoHyphens w:val="0"/>
      <w:spacing w:after="240" w:line="269" w:lineRule="exact"/>
      <w:jc w:val="center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uk-UA" w:eastAsia="en-US"/>
    </w:rPr>
  </w:style>
  <w:style w:type="paragraph" w:customStyle="1" w:styleId="120">
    <w:name w:val="Заголовок №1 (2)"/>
    <w:basedOn w:val="a"/>
    <w:link w:val="12"/>
    <w:rsid w:val="00E667E4"/>
    <w:pPr>
      <w:shd w:val="clear" w:color="auto" w:fill="FFFFFF"/>
      <w:suppressAutoHyphens w:val="0"/>
      <w:spacing w:before="240" w:after="30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sz w:val="22"/>
      <w:szCs w:val="22"/>
      <w:lang w:val="uk-UA" w:eastAsia="en-US"/>
    </w:rPr>
  </w:style>
  <w:style w:type="paragraph" w:customStyle="1" w:styleId="11">
    <w:name w:val="Заголовок №11"/>
    <w:basedOn w:val="a"/>
    <w:link w:val="1"/>
    <w:rsid w:val="00E667E4"/>
    <w:pPr>
      <w:shd w:val="clear" w:color="auto" w:fill="FFFFFF"/>
      <w:suppressAutoHyphens w:val="0"/>
      <w:spacing w:after="240" w:line="269" w:lineRule="exact"/>
      <w:jc w:val="center"/>
      <w:outlineLvl w:val="0"/>
    </w:pPr>
    <w:rPr>
      <w:rFonts w:asciiTheme="minorHAnsi" w:eastAsiaTheme="minorHAnsi" w:hAnsiTheme="minorHAnsi" w:cstheme="minorBidi"/>
      <w:b/>
      <w:bCs/>
      <w:sz w:val="23"/>
      <w:szCs w:val="23"/>
      <w:lang w:val="uk-UA" w:eastAsia="en-US"/>
    </w:rPr>
  </w:style>
  <w:style w:type="paragraph" w:styleId="a8">
    <w:name w:val="Normal (Web)"/>
    <w:basedOn w:val="a"/>
    <w:uiPriority w:val="99"/>
    <w:semiHidden/>
    <w:unhideWhenUsed/>
    <w:rsid w:val="00E667E4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E667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67E4"/>
    <w:rPr>
      <w:rFonts w:ascii="Tahoma" w:eastAsia="Times New Roman" w:hAnsi="Tahoma" w:cs="Tahoma"/>
      <w:sz w:val="16"/>
      <w:szCs w:val="16"/>
      <w:lang w:val="ru-RU" w:eastAsia="ar-SA"/>
    </w:rPr>
  </w:style>
  <w:style w:type="paragraph" w:customStyle="1" w:styleId="110">
    <w:name w:val="заголовок 11"/>
    <w:basedOn w:val="a"/>
    <w:next w:val="a"/>
    <w:rsid w:val="00BF4439"/>
    <w:pPr>
      <w:keepNext/>
      <w:widowControl w:val="0"/>
      <w:suppressAutoHyphens w:val="0"/>
      <w:jc w:val="center"/>
    </w:pPr>
    <w:rPr>
      <w:b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490277"/>
    <w:pPr>
      <w:ind w:left="720"/>
      <w:contextualSpacing/>
    </w:pPr>
  </w:style>
  <w:style w:type="table" w:styleId="ac">
    <w:name w:val="Table Grid"/>
    <w:basedOn w:val="a1"/>
    <w:uiPriority w:val="59"/>
    <w:rsid w:val="00202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semiHidden/>
    <w:unhideWhenUsed/>
    <w:rsid w:val="008F293E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F293E"/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Style4">
    <w:name w:val="Style4"/>
    <w:basedOn w:val="a"/>
    <w:rsid w:val="00A53ECB"/>
    <w:pPr>
      <w:widowControl w:val="0"/>
      <w:suppressAutoHyphens w:val="0"/>
      <w:autoSpaceDE w:val="0"/>
      <w:autoSpaceDN w:val="0"/>
      <w:adjustRightInd w:val="0"/>
      <w:spacing w:line="265" w:lineRule="exact"/>
      <w:jc w:val="both"/>
    </w:pPr>
    <w:rPr>
      <w:rFonts w:ascii="Arial" w:hAnsi="Arial"/>
      <w:sz w:val="24"/>
      <w:lang w:eastAsia="ru-RU"/>
    </w:rPr>
  </w:style>
  <w:style w:type="character" w:customStyle="1" w:styleId="FontStyle12">
    <w:name w:val="Font Style12"/>
    <w:basedOn w:val="a0"/>
    <w:rsid w:val="00A53ECB"/>
    <w:rPr>
      <w:rFonts w:ascii="Arial" w:hAnsi="Arial" w:cs="Arial"/>
      <w:sz w:val="18"/>
      <w:szCs w:val="18"/>
    </w:rPr>
  </w:style>
  <w:style w:type="paragraph" w:customStyle="1" w:styleId="Style1">
    <w:name w:val="Style1"/>
    <w:basedOn w:val="a"/>
    <w:rsid w:val="00A53ECB"/>
    <w:pPr>
      <w:widowControl w:val="0"/>
      <w:suppressAutoHyphens w:val="0"/>
      <w:autoSpaceDE w:val="0"/>
      <w:autoSpaceDN w:val="0"/>
      <w:adjustRightInd w:val="0"/>
      <w:spacing w:line="265" w:lineRule="exact"/>
      <w:jc w:val="both"/>
    </w:pPr>
    <w:rPr>
      <w:rFonts w:ascii="Arial" w:hAnsi="Arial"/>
      <w:sz w:val="24"/>
      <w:lang w:eastAsia="ru-RU"/>
    </w:rPr>
  </w:style>
  <w:style w:type="paragraph" w:customStyle="1" w:styleId="Style3">
    <w:name w:val="Style3"/>
    <w:basedOn w:val="a"/>
    <w:rsid w:val="003F5936"/>
    <w:pPr>
      <w:widowControl w:val="0"/>
      <w:suppressAutoHyphens w:val="0"/>
      <w:autoSpaceDE w:val="0"/>
      <w:autoSpaceDN w:val="0"/>
      <w:adjustRightInd w:val="0"/>
      <w:spacing w:line="266" w:lineRule="exact"/>
      <w:jc w:val="both"/>
    </w:pPr>
    <w:rPr>
      <w:rFonts w:ascii="Arial" w:hAnsi="Arial"/>
      <w:sz w:val="24"/>
      <w:lang w:eastAsia="ru-RU"/>
    </w:rPr>
  </w:style>
  <w:style w:type="character" w:customStyle="1" w:styleId="20">
    <w:name w:val="Заголовок 2 Знак"/>
    <w:basedOn w:val="a0"/>
    <w:link w:val="2"/>
    <w:rsid w:val="00DA297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">
    <w:name w:val="Title"/>
    <w:basedOn w:val="a"/>
    <w:link w:val="af0"/>
    <w:qFormat/>
    <w:rsid w:val="00DA297A"/>
    <w:pPr>
      <w:suppressAutoHyphens w:val="0"/>
      <w:jc w:val="center"/>
    </w:pPr>
    <w:rPr>
      <w:b/>
      <w:szCs w:val="20"/>
      <w:lang w:val="uk-UA" w:eastAsia="ru-RU"/>
    </w:rPr>
  </w:style>
  <w:style w:type="character" w:customStyle="1" w:styleId="af0">
    <w:name w:val="Название Знак"/>
    <w:basedOn w:val="a0"/>
    <w:link w:val="af"/>
    <w:rsid w:val="00DA29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DA297A"/>
    <w:pPr>
      <w:suppressAutoHyphens w:val="0"/>
      <w:spacing w:line="480" w:lineRule="auto"/>
      <w:jc w:val="center"/>
    </w:pPr>
    <w:rPr>
      <w:b/>
      <w:lang w:val="uk-UA" w:eastAsia="ru-RU"/>
    </w:rPr>
  </w:style>
  <w:style w:type="character" w:customStyle="1" w:styleId="af2">
    <w:name w:val="Подзаголовок Знак"/>
    <w:basedOn w:val="a0"/>
    <w:link w:val="af1"/>
    <w:rsid w:val="00DA297A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4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0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6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userMix1604</dc:creator>
  <cp:lastModifiedBy>userZdj933</cp:lastModifiedBy>
  <cp:revision>3</cp:revision>
  <cp:lastPrinted>2015-12-02T13:32:00Z</cp:lastPrinted>
  <dcterms:created xsi:type="dcterms:W3CDTF">2015-12-02T13:53:00Z</dcterms:created>
  <dcterms:modified xsi:type="dcterms:W3CDTF">2015-12-04T13:46:00Z</dcterms:modified>
</cp:coreProperties>
</file>