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СЄВЄРОДОНЕЦЬКА МІСЬКА РАДА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4298F" w:rsidRPr="0064298F" w:rsidRDefault="0064298F" w:rsidP="00642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ym w:font="Times New Roman" w:char="2116"/>
      </w:r>
    </w:p>
    <w:p w:rsidR="0064298F" w:rsidRPr="0064298F" w:rsidRDefault="00E42339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“___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” </w:t>
      </w:r>
      <w:r w:rsidR="0045634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серпня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201</w:t>
      </w:r>
      <w:r w:rsid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64298F"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64298F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Сєвєродонецьк</w:t>
      </w:r>
      <w:proofErr w:type="spellEnd"/>
    </w:p>
    <w:p w:rsidR="005676BC" w:rsidRPr="0064298F" w:rsidRDefault="005676BC" w:rsidP="00642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C60336" w:rsidRDefault="0064298F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64298F" w:rsidRPr="0064298F" w:rsidRDefault="00FE3918" w:rsidP="006429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ідділу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Бигуди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підприємця </w:t>
      </w:r>
      <w:r w:rsidR="006800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Топчієвої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Н.О.</w:t>
      </w:r>
    </w:p>
    <w:p w:rsidR="00C60336" w:rsidRPr="00C60336" w:rsidRDefault="00C60336" w:rsidP="00C60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розташованого в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C603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</w:p>
    <w:p w:rsidR="009A10EC" w:rsidRDefault="0064298F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893CB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вул.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Гоголя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FE3918" w:rsidRDefault="00FE3918" w:rsidP="00FE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266C0" w:rsidRDefault="0064298F" w:rsidP="00642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Керуючись п.п.4 п. “б” ст. 30 Закону України 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виконкому від 27.11.2012 № 1481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 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Сєвєродонецька”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рішенням сорок шостої (чергової) сесії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міської ради п’ятого скликання від 22.05.2008 № 2122 «Про затвердження Правил благоустрою території  м. </w:t>
      </w:r>
      <w:proofErr w:type="spellStart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», р</w:t>
      </w:r>
      <w:r w:rsidR="00FB61E4">
        <w:rPr>
          <w:rFonts w:ascii="Times New Roman" w:eastAsia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особи – підприємця 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Топчієвої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Наталії Олександрівни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</w:t>
      </w:r>
      <w:r w:rsidR="0045634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66C0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  про  встановлення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режиму 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роботи 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C60336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непродовольчих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775EE">
        <w:rPr>
          <w:rFonts w:ascii="Times New Roman" w:eastAsia="Times New Roman" w:hAnsi="Times New Roman" w:cs="Times New Roman"/>
          <w:sz w:val="24"/>
          <w:szCs w:val="24"/>
          <w:lang w:val="uk-UA"/>
        </w:rPr>
        <w:t>товарів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розташованого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A25C6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E266C0" w:rsidRDefault="003A25C6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магазині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4233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</w:t>
      </w:r>
      <w:r w:rsidR="003651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  <w:r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>адресою</w:t>
      </w:r>
      <w:r w:rsidR="00292A0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513AA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FE3918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FE3918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  <w:r w:rsidR="0064298F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>, на підставі:</w:t>
      </w:r>
      <w:r w:rsidR="00E266C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/конфіденційна інформація/.</w:t>
      </w:r>
    </w:p>
    <w:p w:rsidR="0064298F" w:rsidRPr="00E3591B" w:rsidRDefault="0064298F" w:rsidP="00E3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3591B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виконком міської ради</w:t>
      </w:r>
    </w:p>
    <w:p w:rsidR="00680089" w:rsidRDefault="00680089" w:rsidP="0064298F">
      <w:pPr>
        <w:pStyle w:val="a3"/>
        <w:ind w:firstLine="0"/>
        <w:rPr>
          <w:b/>
          <w:szCs w:val="24"/>
          <w:lang w:val="uk-UA"/>
        </w:rPr>
      </w:pPr>
    </w:p>
    <w:p w:rsidR="0064298F" w:rsidRDefault="0064298F" w:rsidP="0064298F">
      <w:pPr>
        <w:pStyle w:val="a3"/>
        <w:ind w:firstLine="0"/>
        <w:rPr>
          <w:b/>
          <w:szCs w:val="24"/>
          <w:lang w:val="uk-UA"/>
        </w:rPr>
      </w:pPr>
      <w:r>
        <w:rPr>
          <w:b/>
          <w:szCs w:val="24"/>
          <w:lang w:val="uk-UA"/>
        </w:rPr>
        <w:t>ВИРІШИВ:</w:t>
      </w:r>
    </w:p>
    <w:p w:rsidR="0064298F" w:rsidRDefault="0064298F" w:rsidP="0064298F">
      <w:pPr>
        <w:pStyle w:val="a7"/>
        <w:spacing w:after="0"/>
        <w:jc w:val="both"/>
        <w:rPr>
          <w:lang w:val="uk-UA"/>
        </w:rPr>
      </w:pPr>
    </w:p>
    <w:p w:rsidR="00FF641B" w:rsidRDefault="0064298F" w:rsidP="00FF6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Встановити, погоджений з власником – фізично</w:t>
      </w:r>
      <w:r w:rsidR="00C340C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ю особою – підприємцем      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Топчієвою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Н.О.</w:t>
      </w:r>
      <w:r w:rsidR="002B111D" w:rsidRPr="00A3368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929D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режим роботи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відділу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Бигуди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по то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ргівлі непродовольчими товарами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в </w:t>
      </w:r>
      <w:r w:rsidR="007536B1">
        <w:rPr>
          <w:rFonts w:ascii="Times New Roman" w:eastAsia="Times New Roman" w:hAnsi="Times New Roman" w:cs="Times New Roman"/>
          <w:sz w:val="24"/>
          <w:szCs w:val="24"/>
          <w:lang w:val="uk-UA"/>
        </w:rPr>
        <w:t>магазині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Пассаж</w:t>
      </w:r>
      <w:proofErr w:type="spellEnd"/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3A072E" w:rsidRPr="003A25C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="003C0ED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C163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вул. Гоголя</w:t>
      </w:r>
      <w:r w:rsidR="002B111D" w:rsidRPr="0064298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2B111D">
        <w:rPr>
          <w:rFonts w:ascii="Times New Roman" w:eastAsia="Times New Roman" w:hAnsi="Times New Roman" w:cs="Times New Roman"/>
          <w:sz w:val="24"/>
          <w:szCs w:val="24"/>
          <w:lang w:val="uk-UA"/>
        </w:rPr>
        <w:t>24/1</w:t>
      </w:r>
    </w:p>
    <w:p w:rsidR="0064298F" w:rsidRPr="00FF641B" w:rsidRDefault="008A47C6" w:rsidP="00FF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кв.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м), а саме:</w:t>
      </w:r>
    </w:p>
    <w:p w:rsidR="00BD39E6" w:rsidRDefault="0064298F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з 0</w:t>
      </w:r>
      <w:r w:rsidR="00EA25E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9</w:t>
      </w:r>
      <w:r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.00 до 1</w:t>
      </w:r>
      <w:r w:rsidR="00FC163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7.</w:t>
      </w:r>
      <w:r w:rsidR="002B111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0</w:t>
      </w:r>
      <w:r w:rsidR="00DA4D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0, </w:t>
      </w:r>
      <w:r w:rsidR="00BD39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без перерви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</w:p>
    <w:p w:rsidR="003A072E" w:rsidRDefault="00BD39E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</w:t>
      </w:r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понеділок – вихідний день.</w:t>
      </w:r>
    </w:p>
    <w:p w:rsidR="0064298F" w:rsidRDefault="00FC1636" w:rsidP="00FC16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ab/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Фізичній особі – підприємцю </w:t>
      </w:r>
      <w:proofErr w:type="spellStart"/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Топчієвій</w:t>
      </w:r>
      <w:proofErr w:type="spellEnd"/>
      <w:r w:rsidR="00CF6968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Н.О.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розмістити </w:t>
      </w:r>
      <w:r w:rsidR="003A25C6" w:rsidRP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біля входу до  відділу</w:t>
      </w:r>
      <w:r w:rsidR="003A25C6" w:rsidRPr="00F60EA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вивіску з зазначенням на ній найменування суб’єкта господарювання та інформації про режим роботи </w:t>
      </w:r>
      <w:r w:rsidR="00AB45B3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відділу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</w:p>
    <w:p w:rsidR="0064298F" w:rsidRPr="0064298F" w:rsidRDefault="003A25C6" w:rsidP="00F60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BB7A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64298F" w:rsidRPr="0064298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EA25E8" w:rsidRDefault="00F60EA1" w:rsidP="00F60E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3A25C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EA25E8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Контроль за виконанням рішення покласти на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заступника міського голови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Пригебу</w:t>
      </w:r>
      <w:proofErr w:type="spellEnd"/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C34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Г</w:t>
      </w:r>
      <w:r w:rsidR="00C34062" w:rsidRPr="0075677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.В.</w:t>
      </w:r>
    </w:p>
    <w:p w:rsidR="00B9688C" w:rsidRDefault="00B9688C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3A25C6" w:rsidRDefault="003A25C6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266C0" w:rsidRDefault="00E266C0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E266C0" w:rsidRDefault="00E266C0" w:rsidP="0064298F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tbl>
      <w:tblPr>
        <w:tblW w:w="31680" w:type="dxa"/>
        <w:tblInd w:w="108" w:type="dxa"/>
        <w:tblLook w:val="0000"/>
      </w:tblPr>
      <w:tblGrid>
        <w:gridCol w:w="11618"/>
        <w:gridCol w:w="1458"/>
        <w:gridCol w:w="9302"/>
        <w:gridCol w:w="9302"/>
      </w:tblGrid>
      <w:tr w:rsidR="0064298F" w:rsidTr="003C0ED0">
        <w:tc>
          <w:tcPr>
            <w:tcW w:w="11502" w:type="dxa"/>
          </w:tcPr>
          <w:p w:rsidR="009A4A1F" w:rsidRDefault="00EA25E8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Міський голова                                                                    В.В. </w:t>
            </w:r>
            <w:proofErr w:type="spellStart"/>
            <w:r w:rsidRPr="00C6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:rsidR="009A4A1F" w:rsidRDefault="009A4A1F" w:rsidP="00B9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:rsidR="009A4A1F" w:rsidRDefault="009A4A1F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  <w:p w:rsidR="00E266C0" w:rsidRDefault="00E266C0" w:rsidP="00B968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uk-UA"/>
              </w:rPr>
            </w:pPr>
          </w:p>
        </w:tc>
        <w:tc>
          <w:tcPr>
            <w:tcW w:w="10876" w:type="dxa"/>
            <w:gridSpan w:val="2"/>
          </w:tcPr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9302" w:type="dxa"/>
          </w:tcPr>
          <w:p w:rsidR="0064298F" w:rsidRPr="0064298F" w:rsidRDefault="00B9688C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="0064298F" w:rsidRPr="006429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  <w:proofErr w:type="spellEnd"/>
          </w:p>
          <w:p w:rsidR="0064298F" w:rsidRPr="0064298F" w:rsidRDefault="0064298F" w:rsidP="00642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61DD1" w:rsidRPr="00112722" w:rsidTr="00680089">
        <w:tc>
          <w:tcPr>
            <w:tcW w:w="13076" w:type="dxa"/>
            <w:gridSpan w:val="2"/>
          </w:tcPr>
          <w:tbl>
            <w:tblPr>
              <w:tblW w:w="14099" w:type="dxa"/>
              <w:tblInd w:w="108" w:type="dxa"/>
              <w:tblLook w:val="0000"/>
            </w:tblPr>
            <w:tblGrid>
              <w:gridCol w:w="8856"/>
              <w:gridCol w:w="2833"/>
              <w:gridCol w:w="2410"/>
            </w:tblGrid>
            <w:tr w:rsidR="00561DD1" w:rsidRPr="00636399" w:rsidTr="009A4A1F">
              <w:tc>
                <w:tcPr>
                  <w:tcW w:w="8856" w:type="dxa"/>
                </w:tcPr>
                <w:p w:rsidR="00E42339" w:rsidRPr="001E76EE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lastRenderedPageBreak/>
                    <w:t>Підготував:</w:t>
                  </w: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Головний спеціаліст відділу торгівлі </w:t>
                  </w:r>
                </w:p>
                <w:p w:rsidR="00E42339" w:rsidRPr="001E76EE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 Т.М.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Трістан</w:t>
                  </w:r>
                  <w:proofErr w:type="spellEnd"/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E42339" w:rsidRPr="00C605D3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Заступник</w:t>
                  </w:r>
                </w:p>
                <w:p w:rsidR="00E42339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C605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міського голови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Г.В.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Пригеба</w:t>
                  </w:r>
                  <w:proofErr w:type="spellEnd"/>
                </w:p>
                <w:p w:rsidR="00E42339" w:rsidRDefault="00E42339" w:rsidP="00E42339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Ю.А. Журба</w:t>
                  </w: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E42339" w:rsidRPr="001E76EE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та з захисту прав споживачів                                                                   Т.Г.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Красюк</w:t>
                  </w:r>
                  <w:proofErr w:type="spellEnd"/>
                </w:p>
                <w:p w:rsidR="00E42339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  <w:p w:rsidR="00E42339" w:rsidRPr="00D5130C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 xml:space="preserve">Заст. начальника </w:t>
                  </w: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відділу юридичних</w:t>
                  </w:r>
                </w:p>
                <w:p w:rsidR="00E42339" w:rsidRPr="001E76EE" w:rsidRDefault="00E42339" w:rsidP="00E423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та правових питань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ab/>
                    <w:t xml:space="preserve">          П.О.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  <w:t>Дубіна</w:t>
                  </w:r>
                  <w:proofErr w:type="spellEnd"/>
                </w:p>
                <w:p w:rsidR="009A4A1F" w:rsidRPr="009A4A1F" w:rsidRDefault="009A4A1F" w:rsidP="009A4A1F">
                  <w:pPr>
                    <w:spacing w:after="0" w:line="240" w:lineRule="auto"/>
                    <w:ind w:right="-1308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561DD1" w:rsidRDefault="00561DD1" w:rsidP="00561DD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561DD1" w:rsidRDefault="00561DD1" w:rsidP="00561DD1">
                  <w:pPr>
                    <w:pStyle w:val="aa"/>
                    <w:rPr>
                      <w:rFonts w:eastAsia="Times New Roman"/>
                      <w:lang w:val="uk-UA"/>
                    </w:rPr>
                  </w:pPr>
                </w:p>
              </w:tc>
            </w:tr>
            <w:tr w:rsidR="00561DD1" w:rsidRPr="00636399" w:rsidTr="009A4A1F">
              <w:trPr>
                <w:trHeight w:val="1283"/>
              </w:trPr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  <w:tr w:rsidR="00561DD1" w:rsidRPr="00636399" w:rsidTr="009A4A1F">
              <w:tc>
                <w:tcPr>
                  <w:tcW w:w="8856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561DD1">
                  <w:pPr>
                    <w:spacing w:after="0" w:line="240" w:lineRule="auto"/>
                    <w:rPr>
                      <w:bCs/>
                      <w:lang w:val="uk-UA"/>
                    </w:rPr>
                  </w:pPr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  <w:tc>
          <w:tcPr>
            <w:tcW w:w="9302" w:type="dxa"/>
          </w:tcPr>
          <w:tbl>
            <w:tblPr>
              <w:tblW w:w="9923" w:type="dxa"/>
              <w:tblInd w:w="108" w:type="dxa"/>
              <w:tblLook w:val="0000"/>
            </w:tblPr>
            <w:tblGrid>
              <w:gridCol w:w="4680"/>
              <w:gridCol w:w="2833"/>
              <w:gridCol w:w="2410"/>
            </w:tblGrid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торгівлі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Т.Г.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Красюк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lang w:val="uk-UA"/>
                    </w:rPr>
                    <w:t xml:space="preserve">Г.В. </w:t>
                  </w:r>
                  <w:proofErr w:type="spellStart"/>
                  <w:r w:rsidRPr="00636399">
                    <w:rPr>
                      <w:lang w:val="uk-UA"/>
                    </w:rPr>
                    <w:t>Пригеба</w:t>
                  </w:r>
                  <w:proofErr w:type="spellEnd"/>
                </w:p>
              </w:tc>
            </w:tr>
            <w:tr w:rsidR="00561DD1" w:rsidRPr="00636399" w:rsidTr="00EF4340">
              <w:tc>
                <w:tcPr>
                  <w:tcW w:w="468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Керуючий справами виконкому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Начальник відділу з юридичних 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>Ю.А. Журба</w:t>
                  </w: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</w:p>
                <w:p w:rsidR="00561DD1" w:rsidRPr="00636399" w:rsidRDefault="00561DD1" w:rsidP="00EF4340">
                  <w:pPr>
                    <w:spacing w:line="360" w:lineRule="auto"/>
                    <w:rPr>
                      <w:bCs/>
                      <w:lang w:val="uk-UA"/>
                    </w:rPr>
                  </w:pPr>
                  <w:r w:rsidRPr="00636399">
                    <w:rPr>
                      <w:bCs/>
                      <w:lang w:val="uk-UA"/>
                    </w:rPr>
                    <w:t xml:space="preserve">В.В. </w:t>
                  </w:r>
                  <w:proofErr w:type="spellStart"/>
                  <w:r w:rsidRPr="00636399">
                    <w:rPr>
                      <w:bCs/>
                      <w:lang w:val="uk-UA"/>
                    </w:rPr>
                    <w:t>Рудь</w:t>
                  </w:r>
                  <w:proofErr w:type="spellEnd"/>
                </w:p>
              </w:tc>
            </w:tr>
          </w:tbl>
          <w:p w:rsidR="00561DD1" w:rsidRDefault="00561DD1"/>
        </w:tc>
      </w:tr>
    </w:tbl>
    <w:p w:rsidR="0064298F" w:rsidRDefault="0064298F" w:rsidP="00C127B7">
      <w:pPr>
        <w:jc w:val="center"/>
        <w:rPr>
          <w:rFonts w:ascii="Calibri" w:eastAsia="Times New Roman" w:hAnsi="Calibri" w:cs="Times New Roman"/>
          <w:b/>
          <w:sz w:val="28"/>
          <w:szCs w:val="28"/>
          <w:lang w:val="uk-UA"/>
        </w:rPr>
      </w:pPr>
    </w:p>
    <w:sectPr w:rsidR="0064298F" w:rsidSect="00B951B7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4298F"/>
    <w:rsid w:val="000561A5"/>
    <w:rsid w:val="0006032D"/>
    <w:rsid w:val="000820FD"/>
    <w:rsid w:val="000F7894"/>
    <w:rsid w:val="00115860"/>
    <w:rsid w:val="00133B27"/>
    <w:rsid w:val="00151F88"/>
    <w:rsid w:val="001A6E45"/>
    <w:rsid w:val="001B5370"/>
    <w:rsid w:val="001C3E14"/>
    <w:rsid w:val="001F242D"/>
    <w:rsid w:val="001F604C"/>
    <w:rsid w:val="00224778"/>
    <w:rsid w:val="0025128C"/>
    <w:rsid w:val="00271CBD"/>
    <w:rsid w:val="0027687D"/>
    <w:rsid w:val="00292A00"/>
    <w:rsid w:val="002B111D"/>
    <w:rsid w:val="002C50AD"/>
    <w:rsid w:val="003177A1"/>
    <w:rsid w:val="00364942"/>
    <w:rsid w:val="003651D5"/>
    <w:rsid w:val="00373CDD"/>
    <w:rsid w:val="00392E91"/>
    <w:rsid w:val="003A072E"/>
    <w:rsid w:val="003A25C6"/>
    <w:rsid w:val="003B60C8"/>
    <w:rsid w:val="003C0ED0"/>
    <w:rsid w:val="003E5EAA"/>
    <w:rsid w:val="003F0411"/>
    <w:rsid w:val="00434C65"/>
    <w:rsid w:val="004427C3"/>
    <w:rsid w:val="00456347"/>
    <w:rsid w:val="004C6214"/>
    <w:rsid w:val="004D0CEB"/>
    <w:rsid w:val="004D13AF"/>
    <w:rsid w:val="004D1682"/>
    <w:rsid w:val="00513AAA"/>
    <w:rsid w:val="0052725D"/>
    <w:rsid w:val="00550E72"/>
    <w:rsid w:val="00560D8D"/>
    <w:rsid w:val="00561DD1"/>
    <w:rsid w:val="005676BC"/>
    <w:rsid w:val="005B0004"/>
    <w:rsid w:val="00601AD4"/>
    <w:rsid w:val="00630FE8"/>
    <w:rsid w:val="00632631"/>
    <w:rsid w:val="0064298F"/>
    <w:rsid w:val="00680089"/>
    <w:rsid w:val="00685D67"/>
    <w:rsid w:val="007536B1"/>
    <w:rsid w:val="007E0F4C"/>
    <w:rsid w:val="00804E6D"/>
    <w:rsid w:val="00884668"/>
    <w:rsid w:val="008929D3"/>
    <w:rsid w:val="00893CBF"/>
    <w:rsid w:val="008A47C6"/>
    <w:rsid w:val="008E0FD0"/>
    <w:rsid w:val="00907BE1"/>
    <w:rsid w:val="00910E6E"/>
    <w:rsid w:val="0094370C"/>
    <w:rsid w:val="009A10EC"/>
    <w:rsid w:val="009A4A1F"/>
    <w:rsid w:val="009B42CA"/>
    <w:rsid w:val="009C0F44"/>
    <w:rsid w:val="00A33686"/>
    <w:rsid w:val="00A33795"/>
    <w:rsid w:val="00A36973"/>
    <w:rsid w:val="00A630A8"/>
    <w:rsid w:val="00A63A0E"/>
    <w:rsid w:val="00AB45B3"/>
    <w:rsid w:val="00AC3873"/>
    <w:rsid w:val="00B14CCB"/>
    <w:rsid w:val="00B52400"/>
    <w:rsid w:val="00B951B7"/>
    <w:rsid w:val="00B9688C"/>
    <w:rsid w:val="00BB7A71"/>
    <w:rsid w:val="00BD39E6"/>
    <w:rsid w:val="00C05DB7"/>
    <w:rsid w:val="00C0639B"/>
    <w:rsid w:val="00C127B7"/>
    <w:rsid w:val="00C34062"/>
    <w:rsid w:val="00C340CF"/>
    <w:rsid w:val="00C502C0"/>
    <w:rsid w:val="00C60336"/>
    <w:rsid w:val="00CA49A7"/>
    <w:rsid w:val="00CA776D"/>
    <w:rsid w:val="00CB2742"/>
    <w:rsid w:val="00CB7D7D"/>
    <w:rsid w:val="00CD2AA9"/>
    <w:rsid w:val="00CE55B2"/>
    <w:rsid w:val="00CF6968"/>
    <w:rsid w:val="00D23E7A"/>
    <w:rsid w:val="00D36C96"/>
    <w:rsid w:val="00D8148A"/>
    <w:rsid w:val="00D83801"/>
    <w:rsid w:val="00D94B73"/>
    <w:rsid w:val="00DA4D19"/>
    <w:rsid w:val="00DF2943"/>
    <w:rsid w:val="00E266C0"/>
    <w:rsid w:val="00E324E6"/>
    <w:rsid w:val="00E3591B"/>
    <w:rsid w:val="00E42339"/>
    <w:rsid w:val="00E44C94"/>
    <w:rsid w:val="00EA25E8"/>
    <w:rsid w:val="00F419BF"/>
    <w:rsid w:val="00F60EA1"/>
    <w:rsid w:val="00F775EE"/>
    <w:rsid w:val="00FB61E4"/>
    <w:rsid w:val="00FC1636"/>
    <w:rsid w:val="00FC3962"/>
    <w:rsid w:val="00FE3918"/>
    <w:rsid w:val="00FF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D4"/>
  </w:style>
  <w:style w:type="paragraph" w:styleId="1">
    <w:name w:val="heading 1"/>
    <w:basedOn w:val="a"/>
    <w:next w:val="a"/>
    <w:link w:val="10"/>
    <w:qFormat/>
    <w:rsid w:val="00642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64298F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4298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4298F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64298F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6429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64298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3686"/>
    <w:pPr>
      <w:ind w:left="720"/>
      <w:contextualSpacing/>
    </w:pPr>
  </w:style>
  <w:style w:type="paragraph" w:customStyle="1" w:styleId="ParagraphStyle">
    <w:name w:val="Paragraph Style"/>
    <w:rsid w:val="0027687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aa">
    <w:name w:val="No Spacing"/>
    <w:uiPriority w:val="1"/>
    <w:qFormat/>
    <w:rsid w:val="00561DD1"/>
    <w:pPr>
      <w:spacing w:after="0" w:line="240" w:lineRule="auto"/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a"/>
    <w:rsid w:val="00C60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2888-32C0-411A-922B-455D4B6F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userShv0840</dc:creator>
  <cp:lastModifiedBy>userXrp570</cp:lastModifiedBy>
  <cp:revision>28</cp:revision>
  <cp:lastPrinted>2017-08-03T05:41:00Z</cp:lastPrinted>
  <dcterms:created xsi:type="dcterms:W3CDTF">2017-06-14T12:57:00Z</dcterms:created>
  <dcterms:modified xsi:type="dcterms:W3CDTF">2017-08-03T12:13:00Z</dcterms:modified>
</cp:coreProperties>
</file>